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883" w:rsidRDefault="00F0332B" w:rsidP="009E1DE5">
      <w:pPr>
        <w:pStyle w:val="Heading1"/>
        <w:keepNext w:val="0"/>
        <w:widowControl w:val="0"/>
        <w:jc w:val="center"/>
      </w:pPr>
      <w:r>
        <w:t>MBA620/</w:t>
      </w:r>
      <w:r w:rsidR="00EF5AA6">
        <w:t>Fin</w:t>
      </w:r>
      <w:r w:rsidR="008A6883">
        <w:t xml:space="preserve"> 418-</w:t>
      </w:r>
      <w:r w:rsidR="00A34270">
        <w:t>2</w:t>
      </w:r>
      <w:r w:rsidR="007D1AAC">
        <w:t>1</w:t>
      </w:r>
      <w:r w:rsidR="008A6883">
        <w:t xml:space="preserve"> Day </w:t>
      </w:r>
      <w:r w:rsidR="00A34270">
        <w:t>2</w:t>
      </w:r>
      <w:r w:rsidR="00AA1DCC">
        <w:t>1</w:t>
      </w:r>
      <w:r w:rsidR="008A6883">
        <w:t xml:space="preserve"> </w:t>
      </w:r>
      <w:r w:rsidR="004168D7">
        <w:t>Terminology</w:t>
      </w:r>
      <w:r w:rsidR="00FF630A">
        <w:t xml:space="preserve"> – </w:t>
      </w:r>
      <w:r w:rsidR="00A34270">
        <w:t>Employer Qualified Plans</w:t>
      </w:r>
    </w:p>
    <w:p w:rsidR="00EF5AA6" w:rsidRDefault="004168D7" w:rsidP="00053F05">
      <w:pPr>
        <w:widowControl w:val="0"/>
        <w:jc w:val="center"/>
        <w:rPr>
          <w:b/>
          <w:bCs/>
        </w:rPr>
      </w:pPr>
      <w:r>
        <w:rPr>
          <w:b/>
          <w:bCs/>
        </w:rPr>
        <w:t>Sudweeks</w:t>
      </w:r>
    </w:p>
    <w:p w:rsidR="004168D7" w:rsidRPr="00053F05" w:rsidRDefault="004168D7" w:rsidP="004168D7">
      <w:pPr>
        <w:widowControl w:val="0"/>
        <w:pBdr>
          <w:bottom w:val="single" w:sz="4" w:space="1" w:color="auto"/>
        </w:pBdr>
        <w:jc w:val="center"/>
        <w:rPr>
          <w:b/>
          <w:bCs/>
        </w:rPr>
      </w:pPr>
    </w:p>
    <w:p w:rsidR="004168D7" w:rsidRDefault="004168D7" w:rsidP="009E1DE5">
      <w:pPr>
        <w:widowControl w:val="0"/>
      </w:pPr>
    </w:p>
    <w:p w:rsidR="001B6522" w:rsidRPr="0050064B" w:rsidRDefault="001B6522" w:rsidP="00EA69DF">
      <w:pPr>
        <w:rPr>
          <w:sz w:val="22"/>
        </w:rPr>
      </w:pPr>
      <w:r w:rsidRPr="0050064B">
        <w:rPr>
          <w:b/>
          <w:sz w:val="22"/>
        </w:rPr>
        <w:t>401k Plans or Roth 401k Plans</w:t>
      </w:r>
      <w:r w:rsidRPr="0050064B">
        <w:rPr>
          <w:sz w:val="22"/>
        </w:rPr>
        <w:t>.  These are defined contribution plans where employees contribute a percent of salary up to a specified amount.  Employers may contribute a matching amount (free money) to encourage participation.</w:t>
      </w:r>
    </w:p>
    <w:p w:rsidR="001B6522" w:rsidRPr="0050064B" w:rsidRDefault="001B6522" w:rsidP="00EA69DF">
      <w:pPr>
        <w:rPr>
          <w:sz w:val="22"/>
        </w:rPr>
      </w:pPr>
    </w:p>
    <w:p w:rsidR="001B6522" w:rsidRPr="0050064B" w:rsidRDefault="001B6522" w:rsidP="00EA69DF">
      <w:pPr>
        <w:rPr>
          <w:sz w:val="22"/>
        </w:rPr>
      </w:pPr>
      <w:r w:rsidRPr="0050064B">
        <w:rPr>
          <w:b/>
          <w:sz w:val="22"/>
        </w:rPr>
        <w:t>403b Plans or Roth 403(b) Plans</w:t>
      </w:r>
      <w:r w:rsidRPr="0050064B">
        <w:rPr>
          <w:sz w:val="22"/>
        </w:rPr>
        <w:t xml:space="preserve"> (also called Tax Sheltered Annuities).  These are defined contribution plans, and are the same as 401k but for non-profit tax-exempt companies and institutions (i.e., schools).</w:t>
      </w:r>
    </w:p>
    <w:p w:rsidR="001B6522" w:rsidRPr="0050064B" w:rsidRDefault="001B6522" w:rsidP="00EA69DF">
      <w:pPr>
        <w:rPr>
          <w:sz w:val="22"/>
        </w:rPr>
      </w:pPr>
    </w:p>
    <w:p w:rsidR="001B6522" w:rsidRPr="0050064B" w:rsidRDefault="001B6522" w:rsidP="00EA69DF">
      <w:pPr>
        <w:rPr>
          <w:sz w:val="22"/>
        </w:rPr>
      </w:pPr>
      <w:r w:rsidRPr="0050064B">
        <w:rPr>
          <w:b/>
          <w:sz w:val="22"/>
        </w:rPr>
        <w:t>457 Plans</w:t>
      </w:r>
      <w:r w:rsidRPr="0050064B">
        <w:rPr>
          <w:sz w:val="22"/>
        </w:rPr>
        <w:t>.  These are defined contribution plans, the same as 401k plans but for state and municipal workers and tax-exempt organizations.</w:t>
      </w:r>
    </w:p>
    <w:p w:rsidR="001B6522" w:rsidRPr="0050064B" w:rsidRDefault="001B6522" w:rsidP="00EA69DF">
      <w:pPr>
        <w:rPr>
          <w:sz w:val="22"/>
        </w:rPr>
      </w:pPr>
    </w:p>
    <w:p w:rsidR="001B6522" w:rsidRPr="0050064B" w:rsidRDefault="001B6522" w:rsidP="00EA69DF">
      <w:pPr>
        <w:rPr>
          <w:sz w:val="22"/>
        </w:rPr>
      </w:pPr>
      <w:r w:rsidRPr="0050064B">
        <w:rPr>
          <w:b/>
          <w:sz w:val="22"/>
        </w:rPr>
        <w:t>Average compensation</w:t>
      </w:r>
      <w:r w:rsidRPr="0050064B">
        <w:rPr>
          <w:sz w:val="22"/>
        </w:rPr>
        <w:t>.  The average of the years of salary considered in making the defined benefit calculation.</w:t>
      </w:r>
    </w:p>
    <w:p w:rsidR="001B6522" w:rsidRPr="0050064B" w:rsidRDefault="001B6522" w:rsidP="00EA69DF">
      <w:pPr>
        <w:rPr>
          <w:sz w:val="22"/>
        </w:rPr>
      </w:pPr>
    </w:p>
    <w:p w:rsidR="001B6522" w:rsidRPr="0050064B" w:rsidRDefault="001B6522" w:rsidP="00EA69DF">
      <w:pPr>
        <w:rPr>
          <w:sz w:val="22"/>
        </w:rPr>
      </w:pPr>
      <w:r w:rsidRPr="0050064B">
        <w:rPr>
          <w:b/>
          <w:sz w:val="22"/>
        </w:rPr>
        <w:t>Cash-Balance Plans</w:t>
      </w:r>
      <w:r w:rsidRPr="0050064B">
        <w:rPr>
          <w:sz w:val="22"/>
        </w:rPr>
        <w:t>.  A type of DBP in which provides specific annual employer contribution (generally 4-7%) each year, plus a low but guaranteed rate of investment earnings.  Accounts grow at a predetermined rate, regardless of how much is in the account.  Employees do not make any investment decisions.</w:t>
      </w:r>
    </w:p>
    <w:p w:rsidR="001B6522" w:rsidRPr="0050064B" w:rsidRDefault="001B6522" w:rsidP="00ED550F">
      <w:pPr>
        <w:rPr>
          <w:sz w:val="22"/>
        </w:rPr>
      </w:pPr>
    </w:p>
    <w:p w:rsidR="001B6522" w:rsidRPr="0050064B" w:rsidRDefault="001B6522" w:rsidP="00ED550F">
      <w:pPr>
        <w:rPr>
          <w:sz w:val="22"/>
        </w:rPr>
      </w:pPr>
      <w:r w:rsidRPr="0050064B">
        <w:rPr>
          <w:b/>
          <w:sz w:val="22"/>
        </w:rPr>
        <w:t>Defined Benefit Pension Plans</w:t>
      </w:r>
      <w:r w:rsidRPr="0050064B">
        <w:rPr>
          <w:sz w:val="22"/>
        </w:rPr>
        <w:t xml:space="preserve">.  A Defined Benefit Pension Plan is a DBP where payments are based on a benefit payout formula.  The formula is based on your salary, years worked and a company determined factor to calculate how much you will get each year.  Employees do not contribute and bear no risk.  </w:t>
      </w:r>
    </w:p>
    <w:p w:rsidR="001B6522" w:rsidRPr="0050064B" w:rsidRDefault="001B6522" w:rsidP="00EA69DF">
      <w:pPr>
        <w:rPr>
          <w:sz w:val="22"/>
        </w:rPr>
      </w:pPr>
    </w:p>
    <w:p w:rsidR="001B6522" w:rsidRPr="0050064B" w:rsidRDefault="001B6522" w:rsidP="00EA69DF">
      <w:pPr>
        <w:rPr>
          <w:sz w:val="22"/>
        </w:rPr>
      </w:pPr>
      <w:r w:rsidRPr="0050064B">
        <w:rPr>
          <w:b/>
          <w:sz w:val="22"/>
        </w:rPr>
        <w:t>Defined Contribution Plan</w:t>
      </w:r>
      <w:r w:rsidRPr="0050064B">
        <w:rPr>
          <w:sz w:val="22"/>
        </w:rPr>
        <w:t xml:space="preserve"> (DCP).  A retirement plan where the employer contributes a specific amount to the employee’s retirement funds while the employee is working and then has no responsibilities once the employee retires.  Employer contributes to a fund, and then has no additional obligation when the employee retires.  Employee may also contribute to the fund.  </w:t>
      </w:r>
    </w:p>
    <w:p w:rsidR="001B6522" w:rsidRPr="0050064B" w:rsidRDefault="001B6522" w:rsidP="00EA69DF">
      <w:pPr>
        <w:rPr>
          <w:sz w:val="22"/>
        </w:rPr>
      </w:pPr>
    </w:p>
    <w:p w:rsidR="001B6522" w:rsidRPr="0050064B" w:rsidRDefault="001B6522" w:rsidP="00EA69DF">
      <w:pPr>
        <w:rPr>
          <w:sz w:val="22"/>
        </w:rPr>
      </w:pPr>
      <w:r w:rsidRPr="0050064B">
        <w:rPr>
          <w:b/>
          <w:sz w:val="22"/>
        </w:rPr>
        <w:t>Discretionary contribution plans</w:t>
      </w:r>
      <w:r w:rsidRPr="0050064B">
        <w:rPr>
          <w:sz w:val="22"/>
        </w:rPr>
        <w:t>.  Retirement plans where contributions are at the employer’s discretion.  These include profit sharing plans, stock bonus or ESOP plans, and money purchase plans.</w:t>
      </w:r>
    </w:p>
    <w:p w:rsidR="001B6522" w:rsidRPr="0050064B" w:rsidRDefault="001B6522" w:rsidP="001B23BB">
      <w:pPr>
        <w:rPr>
          <w:sz w:val="22"/>
        </w:rPr>
      </w:pPr>
    </w:p>
    <w:p w:rsidR="001B6522" w:rsidRPr="0050064B" w:rsidRDefault="001B6522" w:rsidP="001B6522">
      <w:pPr>
        <w:rPr>
          <w:sz w:val="22"/>
        </w:rPr>
      </w:pPr>
      <w:r w:rsidRPr="0050064B">
        <w:rPr>
          <w:b/>
          <w:sz w:val="22"/>
        </w:rPr>
        <w:t>Distribution/Payout Options</w:t>
      </w:r>
      <w:r w:rsidRPr="0050064B">
        <w:rPr>
          <w:sz w:val="22"/>
        </w:rPr>
        <w:t xml:space="preserve">.  These are options as to how you will take the benefits over your retirement.  </w:t>
      </w:r>
    </w:p>
    <w:p w:rsidR="001B6522" w:rsidRPr="0050064B" w:rsidRDefault="001B6522" w:rsidP="001B6522">
      <w:pPr>
        <w:pStyle w:val="ListParagraph"/>
        <w:numPr>
          <w:ilvl w:val="0"/>
          <w:numId w:val="13"/>
        </w:numPr>
        <w:rPr>
          <w:sz w:val="22"/>
        </w:rPr>
      </w:pPr>
      <w:r w:rsidRPr="0050064B">
        <w:rPr>
          <w:sz w:val="22"/>
        </w:rPr>
        <w:t>Life Annuities (guaranteed for the “certain” period).  You receive benefits for as long as you live or for a certain guaranteed period, whichever is longer.</w:t>
      </w:r>
    </w:p>
    <w:p w:rsidR="001B6522" w:rsidRPr="0050064B" w:rsidRDefault="001B6522" w:rsidP="001B6522">
      <w:pPr>
        <w:pStyle w:val="ListParagraph"/>
        <w:numPr>
          <w:ilvl w:val="0"/>
          <w:numId w:val="13"/>
        </w:numPr>
        <w:rPr>
          <w:sz w:val="22"/>
        </w:rPr>
      </w:pPr>
      <w:r w:rsidRPr="0050064B">
        <w:rPr>
          <w:sz w:val="22"/>
        </w:rPr>
        <w:t xml:space="preserve">Joint and Survivor Annuities (percent relates to the amount the spouse receives).  </w:t>
      </w:r>
      <w:r w:rsidR="0050064B" w:rsidRPr="0050064B">
        <w:rPr>
          <w:sz w:val="22"/>
        </w:rPr>
        <w:t>Both you and your spouse</w:t>
      </w:r>
      <w:r w:rsidRPr="0050064B">
        <w:rPr>
          <w:sz w:val="22"/>
        </w:rPr>
        <w:t xml:space="preserve"> receive payment for as long as you live or for a certain guaranteed period.</w:t>
      </w:r>
    </w:p>
    <w:p w:rsidR="001B6522" w:rsidRPr="0050064B" w:rsidRDefault="001B6522" w:rsidP="001B6522">
      <w:pPr>
        <w:pStyle w:val="ListParagraph"/>
        <w:numPr>
          <w:ilvl w:val="0"/>
          <w:numId w:val="13"/>
        </w:numPr>
        <w:rPr>
          <w:sz w:val="22"/>
        </w:rPr>
      </w:pPr>
      <w:r w:rsidRPr="0050064B">
        <w:rPr>
          <w:sz w:val="22"/>
        </w:rPr>
        <w:t>Special Joint and Survivor Annuity (if there is a death in the marriage the benefit decreases).  You receive payment for as long as you live or for a certain guaranteed period, whichever is longer, and your spouse, after you die, receives a percentage of that payment for as long as they live.</w:t>
      </w:r>
    </w:p>
    <w:p w:rsidR="001B6522" w:rsidRPr="0050064B" w:rsidRDefault="001B6522" w:rsidP="001B23BB">
      <w:pPr>
        <w:rPr>
          <w:sz w:val="22"/>
        </w:rPr>
      </w:pPr>
    </w:p>
    <w:p w:rsidR="001B6522" w:rsidRPr="0050064B" w:rsidRDefault="001B6522" w:rsidP="001B23BB">
      <w:pPr>
        <w:rPr>
          <w:sz w:val="22"/>
        </w:rPr>
      </w:pPr>
      <w:r w:rsidRPr="0050064B">
        <w:rPr>
          <w:b/>
          <w:sz w:val="22"/>
        </w:rPr>
        <w:t>Employee Contribution</w:t>
      </w:r>
      <w:r w:rsidRPr="0050064B">
        <w:rPr>
          <w:sz w:val="22"/>
        </w:rPr>
        <w:t xml:space="preserve"> (or Salary Reduction Plans).  These are defined contribution plans where employees contribute before tax dollars reducing their taxable income and earnings accumulate tax deferred.  </w:t>
      </w:r>
    </w:p>
    <w:p w:rsidR="001B6522" w:rsidRPr="0050064B" w:rsidRDefault="001B6522" w:rsidP="00EA69DF">
      <w:pPr>
        <w:rPr>
          <w:sz w:val="22"/>
        </w:rPr>
      </w:pPr>
    </w:p>
    <w:p w:rsidR="001B6522" w:rsidRPr="0050064B" w:rsidRDefault="001B6522" w:rsidP="00EA69DF">
      <w:pPr>
        <w:rPr>
          <w:sz w:val="22"/>
        </w:rPr>
      </w:pPr>
      <w:r w:rsidRPr="0050064B">
        <w:rPr>
          <w:b/>
          <w:sz w:val="22"/>
        </w:rPr>
        <w:lastRenderedPageBreak/>
        <w:t>Employer Qualified Retirement Plans</w:t>
      </w:r>
      <w:r w:rsidRPr="0050064B">
        <w:rPr>
          <w:sz w:val="22"/>
        </w:rPr>
        <w:t>.  These are retirement plans, established by a company, that have specific tax and other benefits to both the company and the employee.  Benefits include competition, tax shelters, personal retirement for the owners, and personal retirement for the employees.  They can be either defined benefit or defined contribution plans.</w:t>
      </w:r>
    </w:p>
    <w:p w:rsidR="0050064B" w:rsidRPr="0050064B" w:rsidRDefault="0050064B" w:rsidP="00EA69DF">
      <w:pPr>
        <w:rPr>
          <w:sz w:val="22"/>
        </w:rPr>
      </w:pPr>
    </w:p>
    <w:p w:rsidR="001B6522" w:rsidRPr="0050064B" w:rsidRDefault="001B6522" w:rsidP="00EA69DF">
      <w:pPr>
        <w:rPr>
          <w:sz w:val="22"/>
        </w:rPr>
      </w:pPr>
      <w:r w:rsidRPr="0050064B">
        <w:rPr>
          <w:b/>
          <w:sz w:val="22"/>
        </w:rPr>
        <w:t>Fixed contribution plans</w:t>
      </w:r>
      <w:r w:rsidRPr="0050064B">
        <w:rPr>
          <w:sz w:val="22"/>
        </w:rPr>
        <w:t>.  These are defined contribution plans where contributions are fixed by the employer.  Examples are thrift and savings plans and target benefit plans.</w:t>
      </w:r>
    </w:p>
    <w:p w:rsidR="001B6522" w:rsidRPr="0050064B" w:rsidRDefault="001B6522" w:rsidP="00EA69DF">
      <w:pPr>
        <w:rPr>
          <w:sz w:val="22"/>
        </w:rPr>
      </w:pPr>
    </w:p>
    <w:p w:rsidR="001B6522" w:rsidRPr="0050064B" w:rsidRDefault="001B6522" w:rsidP="00EA69DF">
      <w:pPr>
        <w:rPr>
          <w:sz w:val="22"/>
        </w:rPr>
      </w:pPr>
      <w:r w:rsidRPr="0050064B">
        <w:rPr>
          <w:b/>
          <w:sz w:val="22"/>
        </w:rPr>
        <w:t>Immediate Annuity Distribution</w:t>
      </w:r>
      <w:r w:rsidRPr="0050064B">
        <w:rPr>
          <w:sz w:val="22"/>
        </w:rPr>
        <w:t>.  You can use your defined contribution plan to purchase an immediate annuity, either from your retirement Plan provider or from others outside the Plan.</w:t>
      </w:r>
    </w:p>
    <w:p w:rsidR="001B6522" w:rsidRPr="0050064B" w:rsidRDefault="001B6522" w:rsidP="00EA69DF">
      <w:pPr>
        <w:rPr>
          <w:sz w:val="22"/>
        </w:rPr>
      </w:pPr>
      <w:r w:rsidRPr="0050064B">
        <w:rPr>
          <w:sz w:val="22"/>
        </w:rPr>
        <w:t>IRA Rollover distribution (Be careful and don’t touch the funds).  You can roll over your distribution into an IRA. The benefits are you can defer taxes until you withdraw the funds, you can direct investment to different assets and asset classes, and you can continue to enjoy tax-deferred growth.  The risks are that there is no guarantee that funds will last a lifetime and you must begin withdrawals at 70½ or 50% penalty is incurred.</w:t>
      </w:r>
    </w:p>
    <w:p w:rsidR="001B6522" w:rsidRPr="0050064B" w:rsidRDefault="001B6522" w:rsidP="00EA69DF">
      <w:pPr>
        <w:rPr>
          <w:sz w:val="22"/>
        </w:rPr>
      </w:pPr>
    </w:p>
    <w:p w:rsidR="001B6522" w:rsidRPr="0050064B" w:rsidRDefault="001B6522" w:rsidP="00EA69DF">
      <w:pPr>
        <w:rPr>
          <w:sz w:val="22"/>
        </w:rPr>
      </w:pPr>
      <w:r w:rsidRPr="0050064B">
        <w:rPr>
          <w:b/>
          <w:sz w:val="22"/>
        </w:rPr>
        <w:t>Lump Sum Distribution</w:t>
      </w:r>
      <w:r w:rsidRPr="0050064B">
        <w:rPr>
          <w:sz w:val="22"/>
        </w:rPr>
        <w:t>.  This is taking the entire retirement account at retirement.  You are responsible to ensure this amount lasts your entire life.  The benefits are you can take the money out as you need it, and can invest/gift/use it elsewhere.  The risks are that plans only allow distributions every 3 months, taxes are incurred immediately, and if you do not plan well, may not have sufficient money for retirement.</w:t>
      </w:r>
    </w:p>
    <w:p w:rsidR="001B6522" w:rsidRPr="0050064B" w:rsidRDefault="001B6522" w:rsidP="00EA69DF">
      <w:pPr>
        <w:rPr>
          <w:sz w:val="22"/>
        </w:rPr>
      </w:pPr>
    </w:p>
    <w:p w:rsidR="001B6522" w:rsidRPr="0050064B" w:rsidRDefault="001B6522" w:rsidP="00EA69DF">
      <w:pPr>
        <w:rPr>
          <w:sz w:val="22"/>
        </w:rPr>
      </w:pPr>
      <w:r w:rsidRPr="0050064B">
        <w:rPr>
          <w:b/>
          <w:sz w:val="22"/>
        </w:rPr>
        <w:t>Money Purchase Plans</w:t>
      </w:r>
      <w:r w:rsidRPr="0050064B">
        <w:rPr>
          <w:sz w:val="22"/>
        </w:rPr>
        <w:t>. These are defined contribution plans where the employer contributes a percentage of employee salary each year, not dependent on company profits.  Employees do not contribute.</w:t>
      </w:r>
    </w:p>
    <w:p w:rsidR="001B6522" w:rsidRPr="0050064B" w:rsidRDefault="001B6522" w:rsidP="00EA69DF">
      <w:pPr>
        <w:rPr>
          <w:sz w:val="22"/>
        </w:rPr>
      </w:pPr>
    </w:p>
    <w:p w:rsidR="001B6522" w:rsidRPr="0050064B" w:rsidRDefault="001B6522" w:rsidP="00EA69DF">
      <w:pPr>
        <w:rPr>
          <w:sz w:val="22"/>
        </w:rPr>
      </w:pPr>
      <w:r w:rsidRPr="0050064B">
        <w:rPr>
          <w:b/>
          <w:sz w:val="22"/>
        </w:rPr>
        <w:t>Periodic Payments distribution</w:t>
      </w:r>
      <w:r w:rsidRPr="0050064B">
        <w:rPr>
          <w:sz w:val="22"/>
        </w:rPr>
        <w:t>.  With this distribution, you can plan for regular payments at regular intervals, and can ensure that payments are available for a specific period of time.  However, there is no assurance of lifetime income, and your tax rate may be high due to the amount of money withdrawn.</w:t>
      </w:r>
    </w:p>
    <w:p w:rsidR="001B6522" w:rsidRPr="0050064B" w:rsidRDefault="001B6522" w:rsidP="00EA69DF">
      <w:pPr>
        <w:rPr>
          <w:sz w:val="22"/>
        </w:rPr>
      </w:pPr>
    </w:p>
    <w:p w:rsidR="001B6522" w:rsidRPr="0050064B" w:rsidRDefault="001B6522" w:rsidP="00EA69DF">
      <w:pPr>
        <w:rPr>
          <w:sz w:val="22"/>
        </w:rPr>
      </w:pPr>
      <w:r w:rsidRPr="0050064B">
        <w:rPr>
          <w:b/>
          <w:sz w:val="22"/>
        </w:rPr>
        <w:t>Profit Sharing Plans</w:t>
      </w:r>
      <w:r w:rsidRPr="0050064B">
        <w:rPr>
          <w:sz w:val="22"/>
        </w:rPr>
        <w:t>.  These are defined contribution plans where employer contributions vary year-to-year depending on firm profitability (it may be zero if the firm is not profitable in that year).</w:t>
      </w:r>
    </w:p>
    <w:p w:rsidR="001B6522" w:rsidRPr="0050064B" w:rsidRDefault="001B6522" w:rsidP="00EA69DF">
      <w:pPr>
        <w:rPr>
          <w:sz w:val="22"/>
        </w:rPr>
      </w:pPr>
    </w:p>
    <w:p w:rsidR="001B6522" w:rsidRPr="0050064B" w:rsidRDefault="001B6522" w:rsidP="00EA69DF">
      <w:pPr>
        <w:rPr>
          <w:sz w:val="22"/>
        </w:rPr>
      </w:pPr>
      <w:r w:rsidRPr="0050064B">
        <w:rPr>
          <w:b/>
          <w:sz w:val="22"/>
        </w:rPr>
        <w:t>Required minimum distributions</w:t>
      </w:r>
      <w:r w:rsidRPr="0050064B">
        <w:rPr>
          <w:sz w:val="22"/>
        </w:rPr>
        <w:t>.  For tax deferred retirement plans, the government requires that a certain percentage of assets must be</w:t>
      </w:r>
      <w:r w:rsidR="0050064B" w:rsidRPr="0050064B">
        <w:rPr>
          <w:sz w:val="22"/>
        </w:rPr>
        <w:t xml:space="preserve"> distributed</w:t>
      </w:r>
      <w:r w:rsidRPr="0050064B">
        <w:rPr>
          <w:sz w:val="22"/>
        </w:rPr>
        <w:t xml:space="preserve"> by April 1st of the year following age 70½.  The distribution is the account balance on Dec. 31 of the previous year (age 69) divided by the life expectancy from the table.  There is a 50% penalty on minimum distributions not taken.</w:t>
      </w:r>
    </w:p>
    <w:p w:rsidR="001B6522" w:rsidRPr="0050064B" w:rsidRDefault="001B6522" w:rsidP="00EA69DF">
      <w:pPr>
        <w:rPr>
          <w:sz w:val="22"/>
        </w:rPr>
      </w:pPr>
    </w:p>
    <w:p w:rsidR="001B6522" w:rsidRPr="0050064B" w:rsidRDefault="001B6522" w:rsidP="00EA69DF">
      <w:pPr>
        <w:rPr>
          <w:sz w:val="22"/>
        </w:rPr>
      </w:pPr>
      <w:r w:rsidRPr="0050064B">
        <w:rPr>
          <w:b/>
          <w:sz w:val="22"/>
        </w:rPr>
        <w:t>Stock Bonus Plan</w:t>
      </w:r>
      <w:r w:rsidRPr="0050064B">
        <w:rPr>
          <w:sz w:val="22"/>
        </w:rPr>
        <w:t>. These are defined contribution plans where employer contributions are made with employer shares of stock.  Employee stock ownership plans (ESOPs) and leveraged ESOPs (LESOPs) are the most common.</w:t>
      </w:r>
    </w:p>
    <w:p w:rsidR="001B6522" w:rsidRPr="0050064B" w:rsidRDefault="001B6522" w:rsidP="001B23BB">
      <w:pPr>
        <w:rPr>
          <w:sz w:val="22"/>
        </w:rPr>
      </w:pPr>
    </w:p>
    <w:p w:rsidR="001B6522" w:rsidRPr="0050064B" w:rsidRDefault="001B6522" w:rsidP="001B23BB">
      <w:pPr>
        <w:rPr>
          <w:sz w:val="22"/>
        </w:rPr>
      </w:pPr>
      <w:r w:rsidRPr="0050064B">
        <w:rPr>
          <w:b/>
          <w:sz w:val="22"/>
        </w:rPr>
        <w:t>Target Benefit Plan</w:t>
      </w:r>
      <w:r w:rsidRPr="0050064B">
        <w:rPr>
          <w:sz w:val="22"/>
        </w:rPr>
        <w:t>.  These are defined contribution plans that establish a required contribution level to meet a specific target level of benefits at retirement.</w:t>
      </w:r>
    </w:p>
    <w:p w:rsidR="001B6522" w:rsidRPr="0050064B" w:rsidRDefault="001B6522" w:rsidP="00EA69DF">
      <w:pPr>
        <w:rPr>
          <w:sz w:val="22"/>
        </w:rPr>
      </w:pPr>
    </w:p>
    <w:p w:rsidR="001B6522" w:rsidRPr="0050064B" w:rsidRDefault="001B6522" w:rsidP="00EA69DF">
      <w:pPr>
        <w:rPr>
          <w:sz w:val="22"/>
        </w:rPr>
      </w:pPr>
      <w:r w:rsidRPr="0050064B">
        <w:rPr>
          <w:b/>
          <w:sz w:val="22"/>
        </w:rPr>
        <w:t>Thrift /Savings Plans</w:t>
      </w:r>
      <w:r w:rsidRPr="0050064B">
        <w:rPr>
          <w:sz w:val="22"/>
        </w:rPr>
        <w:t xml:space="preserve"> (TSP). These are defined contribution plans where the employer matches a percentage of employee contributions to a specific amount (i.e., free money).  This program is for employees of federal civil service.</w:t>
      </w:r>
    </w:p>
    <w:p w:rsidR="001B6522" w:rsidRPr="0050064B" w:rsidRDefault="001B6522" w:rsidP="00EA69DF">
      <w:pPr>
        <w:rPr>
          <w:sz w:val="22"/>
        </w:rPr>
      </w:pPr>
    </w:p>
    <w:p w:rsidR="001B6522" w:rsidRDefault="001B6522" w:rsidP="001B6522">
      <w:r w:rsidRPr="0050064B">
        <w:rPr>
          <w:b/>
          <w:sz w:val="22"/>
        </w:rPr>
        <w:t>Vesting period</w:t>
      </w:r>
      <w:r w:rsidRPr="0050064B">
        <w:rPr>
          <w:sz w:val="22"/>
        </w:rPr>
        <w:t>.  This is the period required before the promised benefits are considered yours.</w:t>
      </w:r>
      <w:bookmarkStart w:id="0" w:name="_GoBack"/>
      <w:bookmarkEnd w:id="0"/>
    </w:p>
    <w:p w:rsidR="001B6522" w:rsidRDefault="001B6522" w:rsidP="00EA69DF"/>
    <w:sectPr w:rsidR="001B6522" w:rsidSect="001B0467">
      <w:headerReference w:type="default" r:id="rId7"/>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F7F85" w:rsidRDefault="001F7F85" w:rsidP="006216EC">
      <w:r>
        <w:separator/>
      </w:r>
    </w:p>
  </w:endnote>
  <w:endnote w:type="continuationSeparator" w:id="0">
    <w:p w:rsidR="001F7F85" w:rsidRDefault="001F7F85" w:rsidP="006216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82929162"/>
      <w:docPartObj>
        <w:docPartGallery w:val="Page Numbers (Bottom of Page)"/>
        <w:docPartUnique/>
      </w:docPartObj>
    </w:sdtPr>
    <w:sdtEndPr/>
    <w:sdtContent>
      <w:sdt>
        <w:sdtPr>
          <w:id w:val="1728636285"/>
          <w:docPartObj>
            <w:docPartGallery w:val="Page Numbers (Top of Page)"/>
            <w:docPartUnique/>
          </w:docPartObj>
        </w:sdtPr>
        <w:sdtEndPr/>
        <w:sdtContent>
          <w:p w:rsidR="006216EC" w:rsidRDefault="006216EC">
            <w:pPr>
              <w:pStyle w:val="Footer"/>
              <w:jc w:val="center"/>
            </w:pPr>
          </w:p>
          <w:p w:rsidR="006216EC" w:rsidRDefault="006216EC" w:rsidP="006216EC">
            <w:pPr>
              <w:pStyle w:val="Footer"/>
              <w:pBdr>
                <w:top w:val="single" w:sz="4" w:space="1" w:color="auto"/>
              </w:pBdr>
              <w:jc w:val="center"/>
            </w:pPr>
            <w:r>
              <w:t xml:space="preserve">Page </w:t>
            </w:r>
            <w:r>
              <w:rPr>
                <w:b/>
                <w:bCs/>
              </w:rPr>
              <w:fldChar w:fldCharType="begin"/>
            </w:r>
            <w:r>
              <w:rPr>
                <w:b/>
                <w:bCs/>
              </w:rPr>
              <w:instrText xml:space="preserve"> PAGE </w:instrText>
            </w:r>
            <w:r>
              <w:rPr>
                <w:b/>
                <w:bCs/>
              </w:rPr>
              <w:fldChar w:fldCharType="separate"/>
            </w:r>
            <w:r w:rsidR="0050064B">
              <w:rPr>
                <w:b/>
                <w:bCs/>
                <w:noProof/>
              </w:rPr>
              <w:t>2</w:t>
            </w:r>
            <w:r>
              <w:rPr>
                <w:b/>
                <w:bCs/>
              </w:rPr>
              <w:fldChar w:fldCharType="end"/>
            </w:r>
            <w:r>
              <w:t xml:space="preserve"> of </w:t>
            </w:r>
            <w:r>
              <w:rPr>
                <w:b/>
                <w:bCs/>
              </w:rPr>
              <w:fldChar w:fldCharType="begin"/>
            </w:r>
            <w:r>
              <w:rPr>
                <w:b/>
                <w:bCs/>
              </w:rPr>
              <w:instrText xml:space="preserve"> NUMPAGES  </w:instrText>
            </w:r>
            <w:r>
              <w:rPr>
                <w:b/>
                <w:bCs/>
              </w:rPr>
              <w:fldChar w:fldCharType="separate"/>
            </w:r>
            <w:r w:rsidR="0050064B">
              <w:rPr>
                <w:b/>
                <w:bCs/>
                <w:noProof/>
              </w:rPr>
              <w:t>2</w:t>
            </w:r>
            <w:r>
              <w:rPr>
                <w:b/>
                <w:bCs/>
              </w:rPr>
              <w:fldChar w:fldCharType="end"/>
            </w:r>
          </w:p>
        </w:sdtContent>
      </w:sdt>
    </w:sdtContent>
  </w:sdt>
  <w:p w:rsidR="006216EC" w:rsidRDefault="006216E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F7F85" w:rsidRDefault="001F7F85" w:rsidP="006216EC">
      <w:r>
        <w:separator/>
      </w:r>
    </w:p>
  </w:footnote>
  <w:footnote w:type="continuationSeparator" w:id="0">
    <w:p w:rsidR="001F7F85" w:rsidRDefault="001F7F85" w:rsidP="006216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216EC" w:rsidRDefault="006216EC" w:rsidP="006216EC">
    <w:pPr>
      <w:pStyle w:val="Header"/>
      <w:pBdr>
        <w:bottom w:val="single" w:sz="4" w:space="1" w:color="auto"/>
      </w:pBdr>
      <w:jc w:val="center"/>
    </w:pPr>
    <w:r>
      <w:t>Terminology</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1B75DB3"/>
    <w:multiLevelType w:val="hybridMultilevel"/>
    <w:tmpl w:val="97700B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66A12A6"/>
    <w:multiLevelType w:val="hybridMultilevel"/>
    <w:tmpl w:val="F72C1920"/>
    <w:lvl w:ilvl="0" w:tplc="A01CB986">
      <w:start w:val="1"/>
      <w:numFmt w:val="decimal"/>
      <w:lvlText w:val="%1."/>
      <w:lvlJc w:val="left"/>
      <w:pPr>
        <w:tabs>
          <w:tab w:val="num" w:pos="648"/>
        </w:tabs>
        <w:ind w:left="648" w:hanging="36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2" w15:restartNumberingAfterBreak="0">
    <w:nsid w:val="19EB0C96"/>
    <w:multiLevelType w:val="hybridMultilevel"/>
    <w:tmpl w:val="10C245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D8F29EE"/>
    <w:multiLevelType w:val="hybridMultilevel"/>
    <w:tmpl w:val="C8F6F8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F996040"/>
    <w:multiLevelType w:val="hybridMultilevel"/>
    <w:tmpl w:val="8CC02202"/>
    <w:lvl w:ilvl="0" w:tplc="1C344336">
      <w:start w:val="1"/>
      <w:numFmt w:val="bullet"/>
      <w:lvlText w:val="•"/>
      <w:lvlJc w:val="left"/>
      <w:pPr>
        <w:tabs>
          <w:tab w:val="num" w:pos="720"/>
        </w:tabs>
        <w:ind w:left="720" w:hanging="360"/>
      </w:pPr>
      <w:rPr>
        <w:rFonts w:ascii="Times New Roman" w:hAnsi="Times New Roman" w:hint="default"/>
      </w:rPr>
    </w:lvl>
    <w:lvl w:ilvl="1" w:tplc="DB7CD8BC">
      <w:start w:val="98"/>
      <w:numFmt w:val="bullet"/>
      <w:lvlText w:val="•"/>
      <w:lvlJc w:val="left"/>
      <w:pPr>
        <w:tabs>
          <w:tab w:val="num" w:pos="1440"/>
        </w:tabs>
        <w:ind w:left="1440" w:hanging="360"/>
      </w:pPr>
      <w:rPr>
        <w:rFonts w:ascii="Times New Roman" w:hAnsi="Times New Roman" w:hint="default"/>
      </w:rPr>
    </w:lvl>
    <w:lvl w:ilvl="2" w:tplc="339EBB5A">
      <w:start w:val="98"/>
      <w:numFmt w:val="bullet"/>
      <w:lvlText w:val="•"/>
      <w:lvlJc w:val="left"/>
      <w:pPr>
        <w:tabs>
          <w:tab w:val="num" w:pos="2160"/>
        </w:tabs>
        <w:ind w:left="2160" w:hanging="360"/>
      </w:pPr>
      <w:rPr>
        <w:rFonts w:ascii="Times New Roman" w:hAnsi="Times New Roman" w:hint="default"/>
      </w:rPr>
    </w:lvl>
    <w:lvl w:ilvl="3" w:tplc="FC26C0FC" w:tentative="1">
      <w:start w:val="1"/>
      <w:numFmt w:val="bullet"/>
      <w:lvlText w:val="•"/>
      <w:lvlJc w:val="left"/>
      <w:pPr>
        <w:tabs>
          <w:tab w:val="num" w:pos="2880"/>
        </w:tabs>
        <w:ind w:left="2880" w:hanging="360"/>
      </w:pPr>
      <w:rPr>
        <w:rFonts w:ascii="Times New Roman" w:hAnsi="Times New Roman" w:hint="default"/>
      </w:rPr>
    </w:lvl>
    <w:lvl w:ilvl="4" w:tplc="0F6CFFC0" w:tentative="1">
      <w:start w:val="1"/>
      <w:numFmt w:val="bullet"/>
      <w:lvlText w:val="•"/>
      <w:lvlJc w:val="left"/>
      <w:pPr>
        <w:tabs>
          <w:tab w:val="num" w:pos="3600"/>
        </w:tabs>
        <w:ind w:left="3600" w:hanging="360"/>
      </w:pPr>
      <w:rPr>
        <w:rFonts w:ascii="Times New Roman" w:hAnsi="Times New Roman" w:hint="default"/>
      </w:rPr>
    </w:lvl>
    <w:lvl w:ilvl="5" w:tplc="ED5EF144" w:tentative="1">
      <w:start w:val="1"/>
      <w:numFmt w:val="bullet"/>
      <w:lvlText w:val="•"/>
      <w:lvlJc w:val="left"/>
      <w:pPr>
        <w:tabs>
          <w:tab w:val="num" w:pos="4320"/>
        </w:tabs>
        <w:ind w:left="4320" w:hanging="360"/>
      </w:pPr>
      <w:rPr>
        <w:rFonts w:ascii="Times New Roman" w:hAnsi="Times New Roman" w:hint="default"/>
      </w:rPr>
    </w:lvl>
    <w:lvl w:ilvl="6" w:tplc="3D7C3A8A" w:tentative="1">
      <w:start w:val="1"/>
      <w:numFmt w:val="bullet"/>
      <w:lvlText w:val="•"/>
      <w:lvlJc w:val="left"/>
      <w:pPr>
        <w:tabs>
          <w:tab w:val="num" w:pos="5040"/>
        </w:tabs>
        <w:ind w:left="5040" w:hanging="360"/>
      </w:pPr>
      <w:rPr>
        <w:rFonts w:ascii="Times New Roman" w:hAnsi="Times New Roman" w:hint="default"/>
      </w:rPr>
    </w:lvl>
    <w:lvl w:ilvl="7" w:tplc="3CA4E716" w:tentative="1">
      <w:start w:val="1"/>
      <w:numFmt w:val="bullet"/>
      <w:lvlText w:val="•"/>
      <w:lvlJc w:val="left"/>
      <w:pPr>
        <w:tabs>
          <w:tab w:val="num" w:pos="5760"/>
        </w:tabs>
        <w:ind w:left="5760" w:hanging="360"/>
      </w:pPr>
      <w:rPr>
        <w:rFonts w:ascii="Times New Roman" w:hAnsi="Times New Roman" w:hint="default"/>
      </w:rPr>
    </w:lvl>
    <w:lvl w:ilvl="8" w:tplc="B8CAA32C" w:tentative="1">
      <w:start w:val="1"/>
      <w:numFmt w:val="bullet"/>
      <w:lvlText w:val="•"/>
      <w:lvlJc w:val="left"/>
      <w:pPr>
        <w:tabs>
          <w:tab w:val="num" w:pos="6480"/>
        </w:tabs>
        <w:ind w:left="6480" w:hanging="360"/>
      </w:pPr>
      <w:rPr>
        <w:rFonts w:ascii="Times New Roman" w:hAnsi="Times New Roman" w:hint="default"/>
      </w:rPr>
    </w:lvl>
  </w:abstractNum>
  <w:abstractNum w:abstractNumId="5" w15:restartNumberingAfterBreak="0">
    <w:nsid w:val="2B3A7A10"/>
    <w:multiLevelType w:val="hybridMultilevel"/>
    <w:tmpl w:val="92A689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2C1506D"/>
    <w:multiLevelType w:val="hybridMultilevel"/>
    <w:tmpl w:val="24368C54"/>
    <w:lvl w:ilvl="0" w:tplc="A4D28BD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BAB591B"/>
    <w:multiLevelType w:val="hybridMultilevel"/>
    <w:tmpl w:val="6A6AB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C36793B"/>
    <w:multiLevelType w:val="hybridMultilevel"/>
    <w:tmpl w:val="257A0A0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5A6361E8"/>
    <w:multiLevelType w:val="hybridMultilevel"/>
    <w:tmpl w:val="782A7BE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4224860"/>
    <w:multiLevelType w:val="hybridMultilevel"/>
    <w:tmpl w:val="83224026"/>
    <w:lvl w:ilvl="0" w:tplc="1AD26E8C">
      <w:start w:val="3"/>
      <w:numFmt w:val="decimal"/>
      <w:lvlText w:val="%1."/>
      <w:lvlJc w:val="left"/>
      <w:pPr>
        <w:tabs>
          <w:tab w:val="num" w:pos="678"/>
        </w:tabs>
        <w:ind w:left="678" w:hanging="390"/>
      </w:pPr>
      <w:rPr>
        <w:rFonts w:hint="default"/>
      </w:rPr>
    </w:lvl>
    <w:lvl w:ilvl="1" w:tplc="04090019" w:tentative="1">
      <w:start w:val="1"/>
      <w:numFmt w:val="lowerLetter"/>
      <w:lvlText w:val="%2."/>
      <w:lvlJc w:val="left"/>
      <w:pPr>
        <w:tabs>
          <w:tab w:val="num" w:pos="1368"/>
        </w:tabs>
        <w:ind w:left="1368" w:hanging="360"/>
      </w:pPr>
    </w:lvl>
    <w:lvl w:ilvl="2" w:tplc="0409001B" w:tentative="1">
      <w:start w:val="1"/>
      <w:numFmt w:val="lowerRoman"/>
      <w:lvlText w:val="%3."/>
      <w:lvlJc w:val="right"/>
      <w:pPr>
        <w:tabs>
          <w:tab w:val="num" w:pos="2088"/>
        </w:tabs>
        <w:ind w:left="2088" w:hanging="180"/>
      </w:pPr>
    </w:lvl>
    <w:lvl w:ilvl="3" w:tplc="0409000F" w:tentative="1">
      <w:start w:val="1"/>
      <w:numFmt w:val="decimal"/>
      <w:lvlText w:val="%4."/>
      <w:lvlJc w:val="left"/>
      <w:pPr>
        <w:tabs>
          <w:tab w:val="num" w:pos="2808"/>
        </w:tabs>
        <w:ind w:left="2808" w:hanging="360"/>
      </w:pPr>
    </w:lvl>
    <w:lvl w:ilvl="4" w:tplc="04090019" w:tentative="1">
      <w:start w:val="1"/>
      <w:numFmt w:val="lowerLetter"/>
      <w:lvlText w:val="%5."/>
      <w:lvlJc w:val="left"/>
      <w:pPr>
        <w:tabs>
          <w:tab w:val="num" w:pos="3528"/>
        </w:tabs>
        <w:ind w:left="3528" w:hanging="360"/>
      </w:pPr>
    </w:lvl>
    <w:lvl w:ilvl="5" w:tplc="0409001B" w:tentative="1">
      <w:start w:val="1"/>
      <w:numFmt w:val="lowerRoman"/>
      <w:lvlText w:val="%6."/>
      <w:lvlJc w:val="right"/>
      <w:pPr>
        <w:tabs>
          <w:tab w:val="num" w:pos="4248"/>
        </w:tabs>
        <w:ind w:left="4248" w:hanging="180"/>
      </w:pPr>
    </w:lvl>
    <w:lvl w:ilvl="6" w:tplc="0409000F" w:tentative="1">
      <w:start w:val="1"/>
      <w:numFmt w:val="decimal"/>
      <w:lvlText w:val="%7."/>
      <w:lvlJc w:val="left"/>
      <w:pPr>
        <w:tabs>
          <w:tab w:val="num" w:pos="4968"/>
        </w:tabs>
        <w:ind w:left="4968" w:hanging="360"/>
      </w:pPr>
    </w:lvl>
    <w:lvl w:ilvl="7" w:tplc="04090019" w:tentative="1">
      <w:start w:val="1"/>
      <w:numFmt w:val="lowerLetter"/>
      <w:lvlText w:val="%8."/>
      <w:lvlJc w:val="left"/>
      <w:pPr>
        <w:tabs>
          <w:tab w:val="num" w:pos="5688"/>
        </w:tabs>
        <w:ind w:left="5688" w:hanging="360"/>
      </w:pPr>
    </w:lvl>
    <w:lvl w:ilvl="8" w:tplc="0409001B" w:tentative="1">
      <w:start w:val="1"/>
      <w:numFmt w:val="lowerRoman"/>
      <w:lvlText w:val="%9."/>
      <w:lvlJc w:val="right"/>
      <w:pPr>
        <w:tabs>
          <w:tab w:val="num" w:pos="6408"/>
        </w:tabs>
        <w:ind w:left="6408" w:hanging="180"/>
      </w:pPr>
    </w:lvl>
  </w:abstractNum>
  <w:abstractNum w:abstractNumId="11" w15:restartNumberingAfterBreak="0">
    <w:nsid w:val="70BE7CEA"/>
    <w:multiLevelType w:val="hybridMultilevel"/>
    <w:tmpl w:val="D2CECD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711A4C9D"/>
    <w:multiLevelType w:val="hybridMultilevel"/>
    <w:tmpl w:val="C630A7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6685664"/>
    <w:multiLevelType w:val="hybridMultilevel"/>
    <w:tmpl w:val="10587E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1"/>
  </w:num>
  <w:num w:numId="3">
    <w:abstractNumId w:val="6"/>
  </w:num>
  <w:num w:numId="4">
    <w:abstractNumId w:val="3"/>
  </w:num>
  <w:num w:numId="5">
    <w:abstractNumId w:val="2"/>
  </w:num>
  <w:num w:numId="6">
    <w:abstractNumId w:val="7"/>
  </w:num>
  <w:num w:numId="7">
    <w:abstractNumId w:val="12"/>
  </w:num>
  <w:num w:numId="8">
    <w:abstractNumId w:val="11"/>
  </w:num>
  <w:num w:numId="9">
    <w:abstractNumId w:val="4"/>
  </w:num>
  <w:num w:numId="10">
    <w:abstractNumId w:val="13"/>
  </w:num>
  <w:num w:numId="11">
    <w:abstractNumId w:val="8"/>
  </w:num>
  <w:num w:numId="12">
    <w:abstractNumId w:val="0"/>
  </w:num>
  <w:num w:numId="13">
    <w:abstractNumId w:val="9"/>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isplayBackgroundShape/>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57D2A"/>
    <w:rsid w:val="000003D7"/>
    <w:rsid w:val="00030BE4"/>
    <w:rsid w:val="00036125"/>
    <w:rsid w:val="000375F5"/>
    <w:rsid w:val="00043B39"/>
    <w:rsid w:val="00045187"/>
    <w:rsid w:val="0005118D"/>
    <w:rsid w:val="00053F05"/>
    <w:rsid w:val="0005656A"/>
    <w:rsid w:val="000679D6"/>
    <w:rsid w:val="0008225F"/>
    <w:rsid w:val="000902ED"/>
    <w:rsid w:val="00093C2E"/>
    <w:rsid w:val="000941E9"/>
    <w:rsid w:val="00096387"/>
    <w:rsid w:val="0009799A"/>
    <w:rsid w:val="000B146B"/>
    <w:rsid w:val="000C0190"/>
    <w:rsid w:val="000D2CBA"/>
    <w:rsid w:val="000D6048"/>
    <w:rsid w:val="000E7F0A"/>
    <w:rsid w:val="00102B39"/>
    <w:rsid w:val="001177B9"/>
    <w:rsid w:val="001655EB"/>
    <w:rsid w:val="00171A95"/>
    <w:rsid w:val="00174D4E"/>
    <w:rsid w:val="00186BC2"/>
    <w:rsid w:val="001A15BF"/>
    <w:rsid w:val="001A57D9"/>
    <w:rsid w:val="001B0467"/>
    <w:rsid w:val="001B23BB"/>
    <w:rsid w:val="001B6522"/>
    <w:rsid w:val="001D2A3C"/>
    <w:rsid w:val="001F1250"/>
    <w:rsid w:val="001F73AE"/>
    <w:rsid w:val="001F7F85"/>
    <w:rsid w:val="00206FE2"/>
    <w:rsid w:val="00213F34"/>
    <w:rsid w:val="00224D8D"/>
    <w:rsid w:val="00226894"/>
    <w:rsid w:val="002271AA"/>
    <w:rsid w:val="0023266B"/>
    <w:rsid w:val="002351D0"/>
    <w:rsid w:val="00236BE8"/>
    <w:rsid w:val="00237E34"/>
    <w:rsid w:val="00240467"/>
    <w:rsid w:val="0024362B"/>
    <w:rsid w:val="00245901"/>
    <w:rsid w:val="0028068C"/>
    <w:rsid w:val="002B476F"/>
    <w:rsid w:val="002C3C1E"/>
    <w:rsid w:val="002C552B"/>
    <w:rsid w:val="002F413E"/>
    <w:rsid w:val="003075B1"/>
    <w:rsid w:val="00307CC8"/>
    <w:rsid w:val="0031528A"/>
    <w:rsid w:val="00333898"/>
    <w:rsid w:val="0034056E"/>
    <w:rsid w:val="00340BD0"/>
    <w:rsid w:val="00386D80"/>
    <w:rsid w:val="003A5300"/>
    <w:rsid w:val="003B1D81"/>
    <w:rsid w:val="003D36DB"/>
    <w:rsid w:val="003D39D0"/>
    <w:rsid w:val="00410CB3"/>
    <w:rsid w:val="00411CFA"/>
    <w:rsid w:val="004168D7"/>
    <w:rsid w:val="004234BF"/>
    <w:rsid w:val="004424C5"/>
    <w:rsid w:val="00451B7C"/>
    <w:rsid w:val="00455DC5"/>
    <w:rsid w:val="00456F7D"/>
    <w:rsid w:val="00457B8E"/>
    <w:rsid w:val="00457D2A"/>
    <w:rsid w:val="00460765"/>
    <w:rsid w:val="0046220E"/>
    <w:rsid w:val="00485733"/>
    <w:rsid w:val="00494B43"/>
    <w:rsid w:val="00496D68"/>
    <w:rsid w:val="004B343D"/>
    <w:rsid w:val="004B73CE"/>
    <w:rsid w:val="004C135C"/>
    <w:rsid w:val="0050064B"/>
    <w:rsid w:val="00514002"/>
    <w:rsid w:val="00555E3E"/>
    <w:rsid w:val="00560C61"/>
    <w:rsid w:val="00591E77"/>
    <w:rsid w:val="00593901"/>
    <w:rsid w:val="00594803"/>
    <w:rsid w:val="00597A8B"/>
    <w:rsid w:val="005C7805"/>
    <w:rsid w:val="00600EE2"/>
    <w:rsid w:val="00612EF2"/>
    <w:rsid w:val="006216EC"/>
    <w:rsid w:val="00627B80"/>
    <w:rsid w:val="006344BC"/>
    <w:rsid w:val="006424C6"/>
    <w:rsid w:val="00642A95"/>
    <w:rsid w:val="00650B19"/>
    <w:rsid w:val="00674953"/>
    <w:rsid w:val="00695B9F"/>
    <w:rsid w:val="006A3CD0"/>
    <w:rsid w:val="006B0205"/>
    <w:rsid w:val="006B3E34"/>
    <w:rsid w:val="006C511F"/>
    <w:rsid w:val="006D763F"/>
    <w:rsid w:val="00721DCE"/>
    <w:rsid w:val="007267FD"/>
    <w:rsid w:val="007315E9"/>
    <w:rsid w:val="00750131"/>
    <w:rsid w:val="00750778"/>
    <w:rsid w:val="007525AA"/>
    <w:rsid w:val="007574DD"/>
    <w:rsid w:val="00766DB7"/>
    <w:rsid w:val="00773C7D"/>
    <w:rsid w:val="0077593B"/>
    <w:rsid w:val="00777421"/>
    <w:rsid w:val="00783191"/>
    <w:rsid w:val="007863E6"/>
    <w:rsid w:val="00787FB2"/>
    <w:rsid w:val="007B3410"/>
    <w:rsid w:val="007B449B"/>
    <w:rsid w:val="007C3348"/>
    <w:rsid w:val="007D1AAC"/>
    <w:rsid w:val="007E7DC6"/>
    <w:rsid w:val="007F5417"/>
    <w:rsid w:val="008020FA"/>
    <w:rsid w:val="008026E9"/>
    <w:rsid w:val="00814914"/>
    <w:rsid w:val="0082244B"/>
    <w:rsid w:val="00824F0D"/>
    <w:rsid w:val="00857E6C"/>
    <w:rsid w:val="0086553A"/>
    <w:rsid w:val="00865681"/>
    <w:rsid w:val="008735A4"/>
    <w:rsid w:val="00891509"/>
    <w:rsid w:val="008915C8"/>
    <w:rsid w:val="00897D44"/>
    <w:rsid w:val="008A0ADC"/>
    <w:rsid w:val="008A3BE7"/>
    <w:rsid w:val="008A5C0E"/>
    <w:rsid w:val="008A6883"/>
    <w:rsid w:val="008B5D15"/>
    <w:rsid w:val="008C6E98"/>
    <w:rsid w:val="008D4E1C"/>
    <w:rsid w:val="008E044B"/>
    <w:rsid w:val="008F3536"/>
    <w:rsid w:val="008F3FBA"/>
    <w:rsid w:val="008F6D40"/>
    <w:rsid w:val="009118FA"/>
    <w:rsid w:val="00962DB9"/>
    <w:rsid w:val="009639CF"/>
    <w:rsid w:val="00964928"/>
    <w:rsid w:val="009944C3"/>
    <w:rsid w:val="00995185"/>
    <w:rsid w:val="009B2679"/>
    <w:rsid w:val="009C2924"/>
    <w:rsid w:val="009D2331"/>
    <w:rsid w:val="009D2880"/>
    <w:rsid w:val="009D5BF1"/>
    <w:rsid w:val="009E1DE5"/>
    <w:rsid w:val="009F1833"/>
    <w:rsid w:val="00A019DF"/>
    <w:rsid w:val="00A052E8"/>
    <w:rsid w:val="00A161CB"/>
    <w:rsid w:val="00A247BB"/>
    <w:rsid w:val="00A254D9"/>
    <w:rsid w:val="00A33E56"/>
    <w:rsid w:val="00A34270"/>
    <w:rsid w:val="00A52A6D"/>
    <w:rsid w:val="00A61EC2"/>
    <w:rsid w:val="00A653F5"/>
    <w:rsid w:val="00A679DC"/>
    <w:rsid w:val="00A81B00"/>
    <w:rsid w:val="00A87C74"/>
    <w:rsid w:val="00AA1DCC"/>
    <w:rsid w:val="00AD6E85"/>
    <w:rsid w:val="00AF10D3"/>
    <w:rsid w:val="00B15ADB"/>
    <w:rsid w:val="00B600F3"/>
    <w:rsid w:val="00B71116"/>
    <w:rsid w:val="00B81046"/>
    <w:rsid w:val="00B936CC"/>
    <w:rsid w:val="00BA3F8A"/>
    <w:rsid w:val="00BA746C"/>
    <w:rsid w:val="00BB609E"/>
    <w:rsid w:val="00BD225E"/>
    <w:rsid w:val="00BD66DA"/>
    <w:rsid w:val="00BE1D89"/>
    <w:rsid w:val="00C049D4"/>
    <w:rsid w:val="00C405F2"/>
    <w:rsid w:val="00C40AA0"/>
    <w:rsid w:val="00C708D5"/>
    <w:rsid w:val="00C76F2B"/>
    <w:rsid w:val="00C80219"/>
    <w:rsid w:val="00C82ECC"/>
    <w:rsid w:val="00C8377E"/>
    <w:rsid w:val="00C902D4"/>
    <w:rsid w:val="00C91FAD"/>
    <w:rsid w:val="00CA5499"/>
    <w:rsid w:val="00CA7BC8"/>
    <w:rsid w:val="00CB0A6D"/>
    <w:rsid w:val="00CC1119"/>
    <w:rsid w:val="00CD3EA5"/>
    <w:rsid w:val="00CD45C1"/>
    <w:rsid w:val="00CE04FC"/>
    <w:rsid w:val="00D01C7A"/>
    <w:rsid w:val="00D32E76"/>
    <w:rsid w:val="00D34041"/>
    <w:rsid w:val="00D34B1D"/>
    <w:rsid w:val="00D4454D"/>
    <w:rsid w:val="00D472C5"/>
    <w:rsid w:val="00D911CD"/>
    <w:rsid w:val="00D91CDC"/>
    <w:rsid w:val="00DB56F1"/>
    <w:rsid w:val="00DC1FFB"/>
    <w:rsid w:val="00DE101E"/>
    <w:rsid w:val="00DF1D38"/>
    <w:rsid w:val="00DF3545"/>
    <w:rsid w:val="00DF434F"/>
    <w:rsid w:val="00E14953"/>
    <w:rsid w:val="00E312CB"/>
    <w:rsid w:val="00E31343"/>
    <w:rsid w:val="00E6247B"/>
    <w:rsid w:val="00E7074B"/>
    <w:rsid w:val="00E70AE9"/>
    <w:rsid w:val="00E74778"/>
    <w:rsid w:val="00E76C5A"/>
    <w:rsid w:val="00EA69DF"/>
    <w:rsid w:val="00EC1792"/>
    <w:rsid w:val="00ED550F"/>
    <w:rsid w:val="00EE16F8"/>
    <w:rsid w:val="00EE191F"/>
    <w:rsid w:val="00EF4620"/>
    <w:rsid w:val="00EF5AA6"/>
    <w:rsid w:val="00F0332B"/>
    <w:rsid w:val="00F1132B"/>
    <w:rsid w:val="00F30420"/>
    <w:rsid w:val="00F53813"/>
    <w:rsid w:val="00F602D1"/>
    <w:rsid w:val="00FB0CEF"/>
    <w:rsid w:val="00FC2553"/>
    <w:rsid w:val="00FD4140"/>
    <w:rsid w:val="00FE3ECA"/>
    <w:rsid w:val="00FF630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E187B8"/>
  <w15:docId w15:val="{CD420FF3-B7F2-468D-89DD-146250D798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szCs w:val="24"/>
    </w:rPr>
  </w:style>
  <w:style w:type="paragraph" w:styleId="Heading1">
    <w:name w:val="heading 1"/>
    <w:basedOn w:val="Normal"/>
    <w:next w:val="Normal"/>
    <w:qFormat/>
    <w:pPr>
      <w:keepNext/>
      <w:spacing w:before="120"/>
      <w:outlineLvl w:val="0"/>
    </w:pPr>
    <w:rPr>
      <w:rFonts w:cs="Arial"/>
      <w:b/>
      <w:bCs/>
      <w:kern w:val="32"/>
      <w:sz w:val="28"/>
      <w:szCs w:val="32"/>
    </w:rPr>
  </w:style>
  <w:style w:type="paragraph" w:styleId="Heading2">
    <w:name w:val="heading 2"/>
    <w:basedOn w:val="Normal"/>
    <w:next w:val="Normal"/>
    <w:qFormat/>
    <w:pPr>
      <w:keepNext/>
      <w:ind w:left="288"/>
      <w:outlineLvl w:val="1"/>
    </w:pPr>
    <w:rPr>
      <w:rFonts w:cs="Arial"/>
      <w:b/>
      <w:bCs/>
      <w:i/>
      <w:iCs/>
      <w:szCs w:val="28"/>
    </w:rPr>
  </w:style>
  <w:style w:type="paragraph" w:styleId="Heading3">
    <w:name w:val="heading 3"/>
    <w:basedOn w:val="Normal"/>
    <w:next w:val="Normal"/>
    <w:qFormat/>
    <w:pPr>
      <w:keepNext/>
      <w:ind w:left="576" w:right="288"/>
      <w:outlineLvl w:val="2"/>
    </w:pPr>
    <w:rPr>
      <w:rFonts w:cs="Arial"/>
      <w:b/>
      <w:bCs/>
      <w:szCs w:val="26"/>
    </w:rPr>
  </w:style>
  <w:style w:type="paragraph" w:styleId="Heading4">
    <w:name w:val="heading 4"/>
    <w:basedOn w:val="Normal"/>
    <w:next w:val="Normal"/>
    <w:autoRedefine/>
    <w:qFormat/>
    <w:rsid w:val="00555E3E"/>
    <w:pPr>
      <w:widowControl w:val="0"/>
      <w:ind w:left="576" w:right="576" w:firstLine="144"/>
      <w:outlineLvl w:val="3"/>
    </w:pPr>
    <w:rPr>
      <w:bCs/>
      <w:szCs w:val="28"/>
    </w:rPr>
  </w:style>
  <w:style w:type="paragraph" w:styleId="Heading5">
    <w:name w:val="heading 5"/>
    <w:basedOn w:val="Normal"/>
    <w:next w:val="Normal"/>
    <w:qFormat/>
    <w:pPr>
      <w:keepNext/>
      <w:jc w:val="center"/>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Date">
    <w:name w:val="Date"/>
    <w:basedOn w:val="Normal"/>
    <w:next w:val="Normal"/>
    <w:rsid w:val="0082244B"/>
  </w:style>
  <w:style w:type="paragraph" w:styleId="BalloonText">
    <w:name w:val="Balloon Text"/>
    <w:basedOn w:val="Normal"/>
    <w:semiHidden/>
    <w:rsid w:val="00045187"/>
    <w:rPr>
      <w:rFonts w:ascii="Tahoma" w:hAnsi="Tahoma" w:cs="Tahoma"/>
      <w:sz w:val="16"/>
      <w:szCs w:val="16"/>
    </w:rPr>
  </w:style>
  <w:style w:type="character" w:styleId="Hyperlink">
    <w:name w:val="Hyperlink"/>
    <w:rsid w:val="00DF1D38"/>
    <w:rPr>
      <w:color w:val="0000FF"/>
      <w:u w:val="single"/>
    </w:rPr>
  </w:style>
  <w:style w:type="character" w:styleId="FollowedHyperlink">
    <w:name w:val="FollowedHyperlink"/>
    <w:rsid w:val="00DF1D38"/>
    <w:rPr>
      <w:color w:val="800080"/>
      <w:u w:val="single"/>
    </w:rPr>
  </w:style>
  <w:style w:type="paragraph" w:styleId="ListParagraph">
    <w:name w:val="List Paragraph"/>
    <w:basedOn w:val="Normal"/>
    <w:uiPriority w:val="34"/>
    <w:qFormat/>
    <w:rsid w:val="00030BE4"/>
    <w:pPr>
      <w:ind w:left="720"/>
      <w:contextualSpacing/>
    </w:pPr>
  </w:style>
  <w:style w:type="paragraph" w:styleId="Header">
    <w:name w:val="header"/>
    <w:basedOn w:val="Normal"/>
    <w:link w:val="HeaderChar"/>
    <w:rsid w:val="006216EC"/>
    <w:pPr>
      <w:tabs>
        <w:tab w:val="center" w:pos="4680"/>
        <w:tab w:val="right" w:pos="9360"/>
      </w:tabs>
    </w:pPr>
  </w:style>
  <w:style w:type="character" w:customStyle="1" w:styleId="HeaderChar">
    <w:name w:val="Header Char"/>
    <w:basedOn w:val="DefaultParagraphFont"/>
    <w:link w:val="Header"/>
    <w:rsid w:val="006216EC"/>
    <w:rPr>
      <w:sz w:val="24"/>
      <w:szCs w:val="24"/>
    </w:rPr>
  </w:style>
  <w:style w:type="paragraph" w:styleId="Footer">
    <w:name w:val="footer"/>
    <w:basedOn w:val="Normal"/>
    <w:link w:val="FooterChar"/>
    <w:uiPriority w:val="99"/>
    <w:rsid w:val="006216EC"/>
    <w:pPr>
      <w:tabs>
        <w:tab w:val="center" w:pos="4680"/>
        <w:tab w:val="right" w:pos="9360"/>
      </w:tabs>
    </w:pPr>
  </w:style>
  <w:style w:type="character" w:customStyle="1" w:styleId="FooterChar">
    <w:name w:val="Footer Char"/>
    <w:basedOn w:val="DefaultParagraphFont"/>
    <w:link w:val="Footer"/>
    <w:uiPriority w:val="99"/>
    <w:rsid w:val="006216EC"/>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5255">
      <w:bodyDiv w:val="1"/>
      <w:marLeft w:val="0"/>
      <w:marRight w:val="0"/>
      <w:marTop w:val="0"/>
      <w:marBottom w:val="0"/>
      <w:divBdr>
        <w:top w:val="none" w:sz="0" w:space="0" w:color="auto"/>
        <w:left w:val="none" w:sz="0" w:space="0" w:color="auto"/>
        <w:bottom w:val="none" w:sz="0" w:space="0" w:color="auto"/>
        <w:right w:val="none" w:sz="0" w:space="0" w:color="auto"/>
      </w:divBdr>
    </w:div>
    <w:div w:id="25327022">
      <w:bodyDiv w:val="1"/>
      <w:marLeft w:val="0"/>
      <w:marRight w:val="0"/>
      <w:marTop w:val="0"/>
      <w:marBottom w:val="0"/>
      <w:divBdr>
        <w:top w:val="none" w:sz="0" w:space="0" w:color="auto"/>
        <w:left w:val="none" w:sz="0" w:space="0" w:color="auto"/>
        <w:bottom w:val="none" w:sz="0" w:space="0" w:color="auto"/>
        <w:right w:val="none" w:sz="0" w:space="0" w:color="auto"/>
      </w:divBdr>
    </w:div>
    <w:div w:id="55321005">
      <w:bodyDiv w:val="1"/>
      <w:marLeft w:val="0"/>
      <w:marRight w:val="0"/>
      <w:marTop w:val="0"/>
      <w:marBottom w:val="0"/>
      <w:divBdr>
        <w:top w:val="none" w:sz="0" w:space="0" w:color="auto"/>
        <w:left w:val="none" w:sz="0" w:space="0" w:color="auto"/>
        <w:bottom w:val="none" w:sz="0" w:space="0" w:color="auto"/>
        <w:right w:val="none" w:sz="0" w:space="0" w:color="auto"/>
      </w:divBdr>
    </w:div>
    <w:div w:id="76440132">
      <w:bodyDiv w:val="1"/>
      <w:marLeft w:val="0"/>
      <w:marRight w:val="0"/>
      <w:marTop w:val="0"/>
      <w:marBottom w:val="0"/>
      <w:divBdr>
        <w:top w:val="none" w:sz="0" w:space="0" w:color="auto"/>
        <w:left w:val="none" w:sz="0" w:space="0" w:color="auto"/>
        <w:bottom w:val="none" w:sz="0" w:space="0" w:color="auto"/>
        <w:right w:val="none" w:sz="0" w:space="0" w:color="auto"/>
      </w:divBdr>
    </w:div>
    <w:div w:id="149517543">
      <w:bodyDiv w:val="1"/>
      <w:marLeft w:val="0"/>
      <w:marRight w:val="0"/>
      <w:marTop w:val="0"/>
      <w:marBottom w:val="0"/>
      <w:divBdr>
        <w:top w:val="none" w:sz="0" w:space="0" w:color="auto"/>
        <w:left w:val="none" w:sz="0" w:space="0" w:color="auto"/>
        <w:bottom w:val="none" w:sz="0" w:space="0" w:color="auto"/>
        <w:right w:val="none" w:sz="0" w:space="0" w:color="auto"/>
      </w:divBdr>
    </w:div>
    <w:div w:id="170799072">
      <w:bodyDiv w:val="1"/>
      <w:marLeft w:val="0"/>
      <w:marRight w:val="0"/>
      <w:marTop w:val="0"/>
      <w:marBottom w:val="0"/>
      <w:divBdr>
        <w:top w:val="none" w:sz="0" w:space="0" w:color="auto"/>
        <w:left w:val="none" w:sz="0" w:space="0" w:color="auto"/>
        <w:bottom w:val="none" w:sz="0" w:space="0" w:color="auto"/>
        <w:right w:val="none" w:sz="0" w:space="0" w:color="auto"/>
      </w:divBdr>
    </w:div>
    <w:div w:id="209080006">
      <w:bodyDiv w:val="1"/>
      <w:marLeft w:val="0"/>
      <w:marRight w:val="0"/>
      <w:marTop w:val="0"/>
      <w:marBottom w:val="0"/>
      <w:divBdr>
        <w:top w:val="none" w:sz="0" w:space="0" w:color="auto"/>
        <w:left w:val="none" w:sz="0" w:space="0" w:color="auto"/>
        <w:bottom w:val="none" w:sz="0" w:space="0" w:color="auto"/>
        <w:right w:val="none" w:sz="0" w:space="0" w:color="auto"/>
      </w:divBdr>
    </w:div>
    <w:div w:id="227154005">
      <w:bodyDiv w:val="1"/>
      <w:marLeft w:val="0"/>
      <w:marRight w:val="0"/>
      <w:marTop w:val="0"/>
      <w:marBottom w:val="0"/>
      <w:divBdr>
        <w:top w:val="none" w:sz="0" w:space="0" w:color="auto"/>
        <w:left w:val="none" w:sz="0" w:space="0" w:color="auto"/>
        <w:bottom w:val="none" w:sz="0" w:space="0" w:color="auto"/>
        <w:right w:val="none" w:sz="0" w:space="0" w:color="auto"/>
      </w:divBdr>
    </w:div>
    <w:div w:id="246232863">
      <w:bodyDiv w:val="1"/>
      <w:marLeft w:val="0"/>
      <w:marRight w:val="0"/>
      <w:marTop w:val="0"/>
      <w:marBottom w:val="0"/>
      <w:divBdr>
        <w:top w:val="none" w:sz="0" w:space="0" w:color="auto"/>
        <w:left w:val="none" w:sz="0" w:space="0" w:color="auto"/>
        <w:bottom w:val="none" w:sz="0" w:space="0" w:color="auto"/>
        <w:right w:val="none" w:sz="0" w:space="0" w:color="auto"/>
      </w:divBdr>
    </w:div>
    <w:div w:id="258493390">
      <w:bodyDiv w:val="1"/>
      <w:marLeft w:val="0"/>
      <w:marRight w:val="0"/>
      <w:marTop w:val="0"/>
      <w:marBottom w:val="0"/>
      <w:divBdr>
        <w:top w:val="none" w:sz="0" w:space="0" w:color="auto"/>
        <w:left w:val="none" w:sz="0" w:space="0" w:color="auto"/>
        <w:bottom w:val="none" w:sz="0" w:space="0" w:color="auto"/>
        <w:right w:val="none" w:sz="0" w:space="0" w:color="auto"/>
      </w:divBdr>
    </w:div>
    <w:div w:id="303850488">
      <w:bodyDiv w:val="1"/>
      <w:marLeft w:val="0"/>
      <w:marRight w:val="0"/>
      <w:marTop w:val="0"/>
      <w:marBottom w:val="0"/>
      <w:divBdr>
        <w:top w:val="none" w:sz="0" w:space="0" w:color="auto"/>
        <w:left w:val="none" w:sz="0" w:space="0" w:color="auto"/>
        <w:bottom w:val="none" w:sz="0" w:space="0" w:color="auto"/>
        <w:right w:val="none" w:sz="0" w:space="0" w:color="auto"/>
      </w:divBdr>
    </w:div>
    <w:div w:id="305012721">
      <w:bodyDiv w:val="1"/>
      <w:marLeft w:val="0"/>
      <w:marRight w:val="0"/>
      <w:marTop w:val="0"/>
      <w:marBottom w:val="0"/>
      <w:divBdr>
        <w:top w:val="none" w:sz="0" w:space="0" w:color="auto"/>
        <w:left w:val="none" w:sz="0" w:space="0" w:color="auto"/>
        <w:bottom w:val="none" w:sz="0" w:space="0" w:color="auto"/>
        <w:right w:val="none" w:sz="0" w:space="0" w:color="auto"/>
      </w:divBdr>
    </w:div>
    <w:div w:id="305554040">
      <w:bodyDiv w:val="1"/>
      <w:marLeft w:val="0"/>
      <w:marRight w:val="0"/>
      <w:marTop w:val="0"/>
      <w:marBottom w:val="0"/>
      <w:divBdr>
        <w:top w:val="none" w:sz="0" w:space="0" w:color="auto"/>
        <w:left w:val="none" w:sz="0" w:space="0" w:color="auto"/>
        <w:bottom w:val="none" w:sz="0" w:space="0" w:color="auto"/>
        <w:right w:val="none" w:sz="0" w:space="0" w:color="auto"/>
      </w:divBdr>
    </w:div>
    <w:div w:id="306279753">
      <w:bodyDiv w:val="1"/>
      <w:marLeft w:val="0"/>
      <w:marRight w:val="0"/>
      <w:marTop w:val="0"/>
      <w:marBottom w:val="0"/>
      <w:divBdr>
        <w:top w:val="none" w:sz="0" w:space="0" w:color="auto"/>
        <w:left w:val="none" w:sz="0" w:space="0" w:color="auto"/>
        <w:bottom w:val="none" w:sz="0" w:space="0" w:color="auto"/>
        <w:right w:val="none" w:sz="0" w:space="0" w:color="auto"/>
      </w:divBdr>
    </w:div>
    <w:div w:id="329060554">
      <w:bodyDiv w:val="1"/>
      <w:marLeft w:val="0"/>
      <w:marRight w:val="0"/>
      <w:marTop w:val="0"/>
      <w:marBottom w:val="0"/>
      <w:divBdr>
        <w:top w:val="none" w:sz="0" w:space="0" w:color="auto"/>
        <w:left w:val="none" w:sz="0" w:space="0" w:color="auto"/>
        <w:bottom w:val="none" w:sz="0" w:space="0" w:color="auto"/>
        <w:right w:val="none" w:sz="0" w:space="0" w:color="auto"/>
      </w:divBdr>
    </w:div>
    <w:div w:id="329673579">
      <w:bodyDiv w:val="1"/>
      <w:marLeft w:val="0"/>
      <w:marRight w:val="0"/>
      <w:marTop w:val="0"/>
      <w:marBottom w:val="0"/>
      <w:divBdr>
        <w:top w:val="none" w:sz="0" w:space="0" w:color="auto"/>
        <w:left w:val="none" w:sz="0" w:space="0" w:color="auto"/>
        <w:bottom w:val="none" w:sz="0" w:space="0" w:color="auto"/>
        <w:right w:val="none" w:sz="0" w:space="0" w:color="auto"/>
      </w:divBdr>
    </w:div>
    <w:div w:id="393159163">
      <w:bodyDiv w:val="1"/>
      <w:marLeft w:val="0"/>
      <w:marRight w:val="0"/>
      <w:marTop w:val="0"/>
      <w:marBottom w:val="0"/>
      <w:divBdr>
        <w:top w:val="none" w:sz="0" w:space="0" w:color="auto"/>
        <w:left w:val="none" w:sz="0" w:space="0" w:color="auto"/>
        <w:bottom w:val="none" w:sz="0" w:space="0" w:color="auto"/>
        <w:right w:val="none" w:sz="0" w:space="0" w:color="auto"/>
      </w:divBdr>
    </w:div>
    <w:div w:id="418065520">
      <w:bodyDiv w:val="1"/>
      <w:marLeft w:val="0"/>
      <w:marRight w:val="0"/>
      <w:marTop w:val="0"/>
      <w:marBottom w:val="0"/>
      <w:divBdr>
        <w:top w:val="none" w:sz="0" w:space="0" w:color="auto"/>
        <w:left w:val="none" w:sz="0" w:space="0" w:color="auto"/>
        <w:bottom w:val="none" w:sz="0" w:space="0" w:color="auto"/>
        <w:right w:val="none" w:sz="0" w:space="0" w:color="auto"/>
      </w:divBdr>
    </w:div>
    <w:div w:id="460197681">
      <w:bodyDiv w:val="1"/>
      <w:marLeft w:val="0"/>
      <w:marRight w:val="0"/>
      <w:marTop w:val="0"/>
      <w:marBottom w:val="0"/>
      <w:divBdr>
        <w:top w:val="none" w:sz="0" w:space="0" w:color="auto"/>
        <w:left w:val="none" w:sz="0" w:space="0" w:color="auto"/>
        <w:bottom w:val="none" w:sz="0" w:space="0" w:color="auto"/>
        <w:right w:val="none" w:sz="0" w:space="0" w:color="auto"/>
      </w:divBdr>
      <w:divsChild>
        <w:div w:id="1421639133">
          <w:marLeft w:val="1166"/>
          <w:marRight w:val="0"/>
          <w:marTop w:val="0"/>
          <w:marBottom w:val="0"/>
          <w:divBdr>
            <w:top w:val="none" w:sz="0" w:space="0" w:color="auto"/>
            <w:left w:val="none" w:sz="0" w:space="0" w:color="auto"/>
            <w:bottom w:val="none" w:sz="0" w:space="0" w:color="auto"/>
            <w:right w:val="none" w:sz="0" w:space="0" w:color="auto"/>
          </w:divBdr>
        </w:div>
        <w:div w:id="673412077">
          <w:marLeft w:val="1800"/>
          <w:marRight w:val="0"/>
          <w:marTop w:val="0"/>
          <w:marBottom w:val="0"/>
          <w:divBdr>
            <w:top w:val="none" w:sz="0" w:space="0" w:color="auto"/>
            <w:left w:val="none" w:sz="0" w:space="0" w:color="auto"/>
            <w:bottom w:val="none" w:sz="0" w:space="0" w:color="auto"/>
            <w:right w:val="none" w:sz="0" w:space="0" w:color="auto"/>
          </w:divBdr>
        </w:div>
        <w:div w:id="1624001175">
          <w:marLeft w:val="1166"/>
          <w:marRight w:val="0"/>
          <w:marTop w:val="0"/>
          <w:marBottom w:val="0"/>
          <w:divBdr>
            <w:top w:val="none" w:sz="0" w:space="0" w:color="auto"/>
            <w:left w:val="none" w:sz="0" w:space="0" w:color="auto"/>
            <w:bottom w:val="none" w:sz="0" w:space="0" w:color="auto"/>
            <w:right w:val="none" w:sz="0" w:space="0" w:color="auto"/>
          </w:divBdr>
        </w:div>
        <w:div w:id="1742629683">
          <w:marLeft w:val="1800"/>
          <w:marRight w:val="0"/>
          <w:marTop w:val="0"/>
          <w:marBottom w:val="0"/>
          <w:divBdr>
            <w:top w:val="none" w:sz="0" w:space="0" w:color="auto"/>
            <w:left w:val="none" w:sz="0" w:space="0" w:color="auto"/>
            <w:bottom w:val="none" w:sz="0" w:space="0" w:color="auto"/>
            <w:right w:val="none" w:sz="0" w:space="0" w:color="auto"/>
          </w:divBdr>
        </w:div>
        <w:div w:id="1629584614">
          <w:marLeft w:val="1166"/>
          <w:marRight w:val="0"/>
          <w:marTop w:val="0"/>
          <w:marBottom w:val="0"/>
          <w:divBdr>
            <w:top w:val="none" w:sz="0" w:space="0" w:color="auto"/>
            <w:left w:val="none" w:sz="0" w:space="0" w:color="auto"/>
            <w:bottom w:val="none" w:sz="0" w:space="0" w:color="auto"/>
            <w:right w:val="none" w:sz="0" w:space="0" w:color="auto"/>
          </w:divBdr>
        </w:div>
        <w:div w:id="961881076">
          <w:marLeft w:val="1800"/>
          <w:marRight w:val="0"/>
          <w:marTop w:val="0"/>
          <w:marBottom w:val="0"/>
          <w:divBdr>
            <w:top w:val="none" w:sz="0" w:space="0" w:color="auto"/>
            <w:left w:val="none" w:sz="0" w:space="0" w:color="auto"/>
            <w:bottom w:val="none" w:sz="0" w:space="0" w:color="auto"/>
            <w:right w:val="none" w:sz="0" w:space="0" w:color="auto"/>
          </w:divBdr>
        </w:div>
        <w:div w:id="294682209">
          <w:marLeft w:val="1166"/>
          <w:marRight w:val="0"/>
          <w:marTop w:val="0"/>
          <w:marBottom w:val="0"/>
          <w:divBdr>
            <w:top w:val="none" w:sz="0" w:space="0" w:color="auto"/>
            <w:left w:val="none" w:sz="0" w:space="0" w:color="auto"/>
            <w:bottom w:val="none" w:sz="0" w:space="0" w:color="auto"/>
            <w:right w:val="none" w:sz="0" w:space="0" w:color="auto"/>
          </w:divBdr>
        </w:div>
        <w:div w:id="2102289337">
          <w:marLeft w:val="1800"/>
          <w:marRight w:val="0"/>
          <w:marTop w:val="0"/>
          <w:marBottom w:val="0"/>
          <w:divBdr>
            <w:top w:val="none" w:sz="0" w:space="0" w:color="auto"/>
            <w:left w:val="none" w:sz="0" w:space="0" w:color="auto"/>
            <w:bottom w:val="none" w:sz="0" w:space="0" w:color="auto"/>
            <w:right w:val="none" w:sz="0" w:space="0" w:color="auto"/>
          </w:divBdr>
        </w:div>
        <w:div w:id="475800891">
          <w:marLeft w:val="1166"/>
          <w:marRight w:val="0"/>
          <w:marTop w:val="0"/>
          <w:marBottom w:val="0"/>
          <w:divBdr>
            <w:top w:val="none" w:sz="0" w:space="0" w:color="auto"/>
            <w:left w:val="none" w:sz="0" w:space="0" w:color="auto"/>
            <w:bottom w:val="none" w:sz="0" w:space="0" w:color="auto"/>
            <w:right w:val="none" w:sz="0" w:space="0" w:color="auto"/>
          </w:divBdr>
        </w:div>
        <w:div w:id="1823810170">
          <w:marLeft w:val="1800"/>
          <w:marRight w:val="0"/>
          <w:marTop w:val="0"/>
          <w:marBottom w:val="0"/>
          <w:divBdr>
            <w:top w:val="none" w:sz="0" w:space="0" w:color="auto"/>
            <w:left w:val="none" w:sz="0" w:space="0" w:color="auto"/>
            <w:bottom w:val="none" w:sz="0" w:space="0" w:color="auto"/>
            <w:right w:val="none" w:sz="0" w:space="0" w:color="auto"/>
          </w:divBdr>
        </w:div>
        <w:div w:id="1547987196">
          <w:marLeft w:val="1166"/>
          <w:marRight w:val="0"/>
          <w:marTop w:val="0"/>
          <w:marBottom w:val="0"/>
          <w:divBdr>
            <w:top w:val="none" w:sz="0" w:space="0" w:color="auto"/>
            <w:left w:val="none" w:sz="0" w:space="0" w:color="auto"/>
            <w:bottom w:val="none" w:sz="0" w:space="0" w:color="auto"/>
            <w:right w:val="none" w:sz="0" w:space="0" w:color="auto"/>
          </w:divBdr>
        </w:div>
        <w:div w:id="616528348">
          <w:marLeft w:val="1800"/>
          <w:marRight w:val="0"/>
          <w:marTop w:val="0"/>
          <w:marBottom w:val="0"/>
          <w:divBdr>
            <w:top w:val="none" w:sz="0" w:space="0" w:color="auto"/>
            <w:left w:val="none" w:sz="0" w:space="0" w:color="auto"/>
            <w:bottom w:val="none" w:sz="0" w:space="0" w:color="auto"/>
            <w:right w:val="none" w:sz="0" w:space="0" w:color="auto"/>
          </w:divBdr>
        </w:div>
      </w:divsChild>
    </w:div>
    <w:div w:id="462890322">
      <w:bodyDiv w:val="1"/>
      <w:marLeft w:val="0"/>
      <w:marRight w:val="0"/>
      <w:marTop w:val="0"/>
      <w:marBottom w:val="0"/>
      <w:divBdr>
        <w:top w:val="none" w:sz="0" w:space="0" w:color="auto"/>
        <w:left w:val="none" w:sz="0" w:space="0" w:color="auto"/>
        <w:bottom w:val="none" w:sz="0" w:space="0" w:color="auto"/>
        <w:right w:val="none" w:sz="0" w:space="0" w:color="auto"/>
      </w:divBdr>
    </w:div>
    <w:div w:id="469714288">
      <w:bodyDiv w:val="1"/>
      <w:marLeft w:val="0"/>
      <w:marRight w:val="0"/>
      <w:marTop w:val="0"/>
      <w:marBottom w:val="0"/>
      <w:divBdr>
        <w:top w:val="none" w:sz="0" w:space="0" w:color="auto"/>
        <w:left w:val="none" w:sz="0" w:space="0" w:color="auto"/>
        <w:bottom w:val="none" w:sz="0" w:space="0" w:color="auto"/>
        <w:right w:val="none" w:sz="0" w:space="0" w:color="auto"/>
      </w:divBdr>
    </w:div>
    <w:div w:id="489831817">
      <w:bodyDiv w:val="1"/>
      <w:marLeft w:val="0"/>
      <w:marRight w:val="0"/>
      <w:marTop w:val="0"/>
      <w:marBottom w:val="0"/>
      <w:divBdr>
        <w:top w:val="none" w:sz="0" w:space="0" w:color="auto"/>
        <w:left w:val="none" w:sz="0" w:space="0" w:color="auto"/>
        <w:bottom w:val="none" w:sz="0" w:space="0" w:color="auto"/>
        <w:right w:val="none" w:sz="0" w:space="0" w:color="auto"/>
      </w:divBdr>
    </w:div>
    <w:div w:id="499345638">
      <w:bodyDiv w:val="1"/>
      <w:marLeft w:val="0"/>
      <w:marRight w:val="0"/>
      <w:marTop w:val="0"/>
      <w:marBottom w:val="0"/>
      <w:divBdr>
        <w:top w:val="none" w:sz="0" w:space="0" w:color="auto"/>
        <w:left w:val="none" w:sz="0" w:space="0" w:color="auto"/>
        <w:bottom w:val="none" w:sz="0" w:space="0" w:color="auto"/>
        <w:right w:val="none" w:sz="0" w:space="0" w:color="auto"/>
      </w:divBdr>
    </w:div>
    <w:div w:id="573246397">
      <w:bodyDiv w:val="1"/>
      <w:marLeft w:val="0"/>
      <w:marRight w:val="0"/>
      <w:marTop w:val="0"/>
      <w:marBottom w:val="0"/>
      <w:divBdr>
        <w:top w:val="none" w:sz="0" w:space="0" w:color="auto"/>
        <w:left w:val="none" w:sz="0" w:space="0" w:color="auto"/>
        <w:bottom w:val="none" w:sz="0" w:space="0" w:color="auto"/>
        <w:right w:val="none" w:sz="0" w:space="0" w:color="auto"/>
      </w:divBdr>
    </w:div>
    <w:div w:id="633368135">
      <w:bodyDiv w:val="1"/>
      <w:marLeft w:val="0"/>
      <w:marRight w:val="0"/>
      <w:marTop w:val="0"/>
      <w:marBottom w:val="0"/>
      <w:divBdr>
        <w:top w:val="none" w:sz="0" w:space="0" w:color="auto"/>
        <w:left w:val="none" w:sz="0" w:space="0" w:color="auto"/>
        <w:bottom w:val="none" w:sz="0" w:space="0" w:color="auto"/>
        <w:right w:val="none" w:sz="0" w:space="0" w:color="auto"/>
      </w:divBdr>
    </w:div>
    <w:div w:id="648478994">
      <w:bodyDiv w:val="1"/>
      <w:marLeft w:val="0"/>
      <w:marRight w:val="0"/>
      <w:marTop w:val="0"/>
      <w:marBottom w:val="0"/>
      <w:divBdr>
        <w:top w:val="none" w:sz="0" w:space="0" w:color="auto"/>
        <w:left w:val="none" w:sz="0" w:space="0" w:color="auto"/>
        <w:bottom w:val="none" w:sz="0" w:space="0" w:color="auto"/>
        <w:right w:val="none" w:sz="0" w:space="0" w:color="auto"/>
      </w:divBdr>
    </w:div>
    <w:div w:id="687870771">
      <w:bodyDiv w:val="1"/>
      <w:marLeft w:val="0"/>
      <w:marRight w:val="0"/>
      <w:marTop w:val="0"/>
      <w:marBottom w:val="0"/>
      <w:divBdr>
        <w:top w:val="none" w:sz="0" w:space="0" w:color="auto"/>
        <w:left w:val="none" w:sz="0" w:space="0" w:color="auto"/>
        <w:bottom w:val="none" w:sz="0" w:space="0" w:color="auto"/>
        <w:right w:val="none" w:sz="0" w:space="0" w:color="auto"/>
      </w:divBdr>
    </w:div>
    <w:div w:id="690450342">
      <w:bodyDiv w:val="1"/>
      <w:marLeft w:val="0"/>
      <w:marRight w:val="0"/>
      <w:marTop w:val="0"/>
      <w:marBottom w:val="0"/>
      <w:divBdr>
        <w:top w:val="none" w:sz="0" w:space="0" w:color="auto"/>
        <w:left w:val="none" w:sz="0" w:space="0" w:color="auto"/>
        <w:bottom w:val="none" w:sz="0" w:space="0" w:color="auto"/>
        <w:right w:val="none" w:sz="0" w:space="0" w:color="auto"/>
      </w:divBdr>
    </w:div>
    <w:div w:id="695083948">
      <w:bodyDiv w:val="1"/>
      <w:marLeft w:val="0"/>
      <w:marRight w:val="0"/>
      <w:marTop w:val="0"/>
      <w:marBottom w:val="0"/>
      <w:divBdr>
        <w:top w:val="none" w:sz="0" w:space="0" w:color="auto"/>
        <w:left w:val="none" w:sz="0" w:space="0" w:color="auto"/>
        <w:bottom w:val="none" w:sz="0" w:space="0" w:color="auto"/>
        <w:right w:val="none" w:sz="0" w:space="0" w:color="auto"/>
      </w:divBdr>
    </w:div>
    <w:div w:id="741761298">
      <w:bodyDiv w:val="1"/>
      <w:marLeft w:val="0"/>
      <w:marRight w:val="0"/>
      <w:marTop w:val="0"/>
      <w:marBottom w:val="0"/>
      <w:divBdr>
        <w:top w:val="none" w:sz="0" w:space="0" w:color="auto"/>
        <w:left w:val="none" w:sz="0" w:space="0" w:color="auto"/>
        <w:bottom w:val="none" w:sz="0" w:space="0" w:color="auto"/>
        <w:right w:val="none" w:sz="0" w:space="0" w:color="auto"/>
      </w:divBdr>
    </w:div>
    <w:div w:id="747390216">
      <w:bodyDiv w:val="1"/>
      <w:marLeft w:val="0"/>
      <w:marRight w:val="0"/>
      <w:marTop w:val="0"/>
      <w:marBottom w:val="0"/>
      <w:divBdr>
        <w:top w:val="none" w:sz="0" w:space="0" w:color="auto"/>
        <w:left w:val="none" w:sz="0" w:space="0" w:color="auto"/>
        <w:bottom w:val="none" w:sz="0" w:space="0" w:color="auto"/>
        <w:right w:val="none" w:sz="0" w:space="0" w:color="auto"/>
      </w:divBdr>
    </w:div>
    <w:div w:id="800850695">
      <w:bodyDiv w:val="1"/>
      <w:marLeft w:val="0"/>
      <w:marRight w:val="0"/>
      <w:marTop w:val="0"/>
      <w:marBottom w:val="0"/>
      <w:divBdr>
        <w:top w:val="none" w:sz="0" w:space="0" w:color="auto"/>
        <w:left w:val="none" w:sz="0" w:space="0" w:color="auto"/>
        <w:bottom w:val="none" w:sz="0" w:space="0" w:color="auto"/>
        <w:right w:val="none" w:sz="0" w:space="0" w:color="auto"/>
      </w:divBdr>
    </w:div>
    <w:div w:id="820000451">
      <w:bodyDiv w:val="1"/>
      <w:marLeft w:val="0"/>
      <w:marRight w:val="0"/>
      <w:marTop w:val="0"/>
      <w:marBottom w:val="0"/>
      <w:divBdr>
        <w:top w:val="none" w:sz="0" w:space="0" w:color="auto"/>
        <w:left w:val="none" w:sz="0" w:space="0" w:color="auto"/>
        <w:bottom w:val="none" w:sz="0" w:space="0" w:color="auto"/>
        <w:right w:val="none" w:sz="0" w:space="0" w:color="auto"/>
      </w:divBdr>
    </w:div>
    <w:div w:id="834757739">
      <w:bodyDiv w:val="1"/>
      <w:marLeft w:val="0"/>
      <w:marRight w:val="0"/>
      <w:marTop w:val="0"/>
      <w:marBottom w:val="0"/>
      <w:divBdr>
        <w:top w:val="none" w:sz="0" w:space="0" w:color="auto"/>
        <w:left w:val="none" w:sz="0" w:space="0" w:color="auto"/>
        <w:bottom w:val="none" w:sz="0" w:space="0" w:color="auto"/>
        <w:right w:val="none" w:sz="0" w:space="0" w:color="auto"/>
      </w:divBdr>
    </w:div>
    <w:div w:id="846752335">
      <w:bodyDiv w:val="1"/>
      <w:marLeft w:val="0"/>
      <w:marRight w:val="0"/>
      <w:marTop w:val="0"/>
      <w:marBottom w:val="0"/>
      <w:divBdr>
        <w:top w:val="none" w:sz="0" w:space="0" w:color="auto"/>
        <w:left w:val="none" w:sz="0" w:space="0" w:color="auto"/>
        <w:bottom w:val="none" w:sz="0" w:space="0" w:color="auto"/>
        <w:right w:val="none" w:sz="0" w:space="0" w:color="auto"/>
      </w:divBdr>
    </w:div>
    <w:div w:id="857045317">
      <w:bodyDiv w:val="1"/>
      <w:marLeft w:val="0"/>
      <w:marRight w:val="0"/>
      <w:marTop w:val="0"/>
      <w:marBottom w:val="0"/>
      <w:divBdr>
        <w:top w:val="none" w:sz="0" w:space="0" w:color="auto"/>
        <w:left w:val="none" w:sz="0" w:space="0" w:color="auto"/>
        <w:bottom w:val="none" w:sz="0" w:space="0" w:color="auto"/>
        <w:right w:val="none" w:sz="0" w:space="0" w:color="auto"/>
      </w:divBdr>
    </w:div>
    <w:div w:id="884146514">
      <w:bodyDiv w:val="1"/>
      <w:marLeft w:val="0"/>
      <w:marRight w:val="0"/>
      <w:marTop w:val="0"/>
      <w:marBottom w:val="0"/>
      <w:divBdr>
        <w:top w:val="none" w:sz="0" w:space="0" w:color="auto"/>
        <w:left w:val="none" w:sz="0" w:space="0" w:color="auto"/>
        <w:bottom w:val="none" w:sz="0" w:space="0" w:color="auto"/>
        <w:right w:val="none" w:sz="0" w:space="0" w:color="auto"/>
      </w:divBdr>
    </w:div>
    <w:div w:id="907613421">
      <w:bodyDiv w:val="1"/>
      <w:marLeft w:val="0"/>
      <w:marRight w:val="0"/>
      <w:marTop w:val="0"/>
      <w:marBottom w:val="0"/>
      <w:divBdr>
        <w:top w:val="none" w:sz="0" w:space="0" w:color="auto"/>
        <w:left w:val="none" w:sz="0" w:space="0" w:color="auto"/>
        <w:bottom w:val="none" w:sz="0" w:space="0" w:color="auto"/>
        <w:right w:val="none" w:sz="0" w:space="0" w:color="auto"/>
      </w:divBdr>
    </w:div>
    <w:div w:id="924846143">
      <w:bodyDiv w:val="1"/>
      <w:marLeft w:val="0"/>
      <w:marRight w:val="0"/>
      <w:marTop w:val="0"/>
      <w:marBottom w:val="0"/>
      <w:divBdr>
        <w:top w:val="none" w:sz="0" w:space="0" w:color="auto"/>
        <w:left w:val="none" w:sz="0" w:space="0" w:color="auto"/>
        <w:bottom w:val="none" w:sz="0" w:space="0" w:color="auto"/>
        <w:right w:val="none" w:sz="0" w:space="0" w:color="auto"/>
      </w:divBdr>
    </w:div>
    <w:div w:id="938828135">
      <w:bodyDiv w:val="1"/>
      <w:marLeft w:val="0"/>
      <w:marRight w:val="0"/>
      <w:marTop w:val="0"/>
      <w:marBottom w:val="0"/>
      <w:divBdr>
        <w:top w:val="none" w:sz="0" w:space="0" w:color="auto"/>
        <w:left w:val="none" w:sz="0" w:space="0" w:color="auto"/>
        <w:bottom w:val="none" w:sz="0" w:space="0" w:color="auto"/>
        <w:right w:val="none" w:sz="0" w:space="0" w:color="auto"/>
      </w:divBdr>
    </w:div>
    <w:div w:id="962154571">
      <w:bodyDiv w:val="1"/>
      <w:marLeft w:val="0"/>
      <w:marRight w:val="0"/>
      <w:marTop w:val="0"/>
      <w:marBottom w:val="0"/>
      <w:divBdr>
        <w:top w:val="none" w:sz="0" w:space="0" w:color="auto"/>
        <w:left w:val="none" w:sz="0" w:space="0" w:color="auto"/>
        <w:bottom w:val="none" w:sz="0" w:space="0" w:color="auto"/>
        <w:right w:val="none" w:sz="0" w:space="0" w:color="auto"/>
      </w:divBdr>
    </w:div>
    <w:div w:id="982587730">
      <w:bodyDiv w:val="1"/>
      <w:marLeft w:val="0"/>
      <w:marRight w:val="0"/>
      <w:marTop w:val="0"/>
      <w:marBottom w:val="0"/>
      <w:divBdr>
        <w:top w:val="none" w:sz="0" w:space="0" w:color="auto"/>
        <w:left w:val="none" w:sz="0" w:space="0" w:color="auto"/>
        <w:bottom w:val="none" w:sz="0" w:space="0" w:color="auto"/>
        <w:right w:val="none" w:sz="0" w:space="0" w:color="auto"/>
      </w:divBdr>
    </w:div>
    <w:div w:id="1015040463">
      <w:bodyDiv w:val="1"/>
      <w:marLeft w:val="0"/>
      <w:marRight w:val="0"/>
      <w:marTop w:val="0"/>
      <w:marBottom w:val="0"/>
      <w:divBdr>
        <w:top w:val="none" w:sz="0" w:space="0" w:color="auto"/>
        <w:left w:val="none" w:sz="0" w:space="0" w:color="auto"/>
        <w:bottom w:val="none" w:sz="0" w:space="0" w:color="auto"/>
        <w:right w:val="none" w:sz="0" w:space="0" w:color="auto"/>
      </w:divBdr>
    </w:div>
    <w:div w:id="1016808457">
      <w:bodyDiv w:val="1"/>
      <w:marLeft w:val="0"/>
      <w:marRight w:val="0"/>
      <w:marTop w:val="0"/>
      <w:marBottom w:val="0"/>
      <w:divBdr>
        <w:top w:val="none" w:sz="0" w:space="0" w:color="auto"/>
        <w:left w:val="none" w:sz="0" w:space="0" w:color="auto"/>
        <w:bottom w:val="none" w:sz="0" w:space="0" w:color="auto"/>
        <w:right w:val="none" w:sz="0" w:space="0" w:color="auto"/>
      </w:divBdr>
    </w:div>
    <w:div w:id="1030913690">
      <w:bodyDiv w:val="1"/>
      <w:marLeft w:val="0"/>
      <w:marRight w:val="0"/>
      <w:marTop w:val="0"/>
      <w:marBottom w:val="0"/>
      <w:divBdr>
        <w:top w:val="none" w:sz="0" w:space="0" w:color="auto"/>
        <w:left w:val="none" w:sz="0" w:space="0" w:color="auto"/>
        <w:bottom w:val="none" w:sz="0" w:space="0" w:color="auto"/>
        <w:right w:val="none" w:sz="0" w:space="0" w:color="auto"/>
      </w:divBdr>
    </w:div>
    <w:div w:id="1042706481">
      <w:bodyDiv w:val="1"/>
      <w:marLeft w:val="0"/>
      <w:marRight w:val="0"/>
      <w:marTop w:val="0"/>
      <w:marBottom w:val="0"/>
      <w:divBdr>
        <w:top w:val="none" w:sz="0" w:space="0" w:color="auto"/>
        <w:left w:val="none" w:sz="0" w:space="0" w:color="auto"/>
        <w:bottom w:val="none" w:sz="0" w:space="0" w:color="auto"/>
        <w:right w:val="none" w:sz="0" w:space="0" w:color="auto"/>
      </w:divBdr>
    </w:div>
    <w:div w:id="1045057931">
      <w:bodyDiv w:val="1"/>
      <w:marLeft w:val="0"/>
      <w:marRight w:val="0"/>
      <w:marTop w:val="0"/>
      <w:marBottom w:val="0"/>
      <w:divBdr>
        <w:top w:val="none" w:sz="0" w:space="0" w:color="auto"/>
        <w:left w:val="none" w:sz="0" w:space="0" w:color="auto"/>
        <w:bottom w:val="none" w:sz="0" w:space="0" w:color="auto"/>
        <w:right w:val="none" w:sz="0" w:space="0" w:color="auto"/>
      </w:divBdr>
    </w:div>
    <w:div w:id="1073622588">
      <w:bodyDiv w:val="1"/>
      <w:marLeft w:val="0"/>
      <w:marRight w:val="0"/>
      <w:marTop w:val="0"/>
      <w:marBottom w:val="0"/>
      <w:divBdr>
        <w:top w:val="none" w:sz="0" w:space="0" w:color="auto"/>
        <w:left w:val="none" w:sz="0" w:space="0" w:color="auto"/>
        <w:bottom w:val="none" w:sz="0" w:space="0" w:color="auto"/>
        <w:right w:val="none" w:sz="0" w:space="0" w:color="auto"/>
      </w:divBdr>
    </w:div>
    <w:div w:id="1073814275">
      <w:bodyDiv w:val="1"/>
      <w:marLeft w:val="0"/>
      <w:marRight w:val="0"/>
      <w:marTop w:val="0"/>
      <w:marBottom w:val="0"/>
      <w:divBdr>
        <w:top w:val="none" w:sz="0" w:space="0" w:color="auto"/>
        <w:left w:val="none" w:sz="0" w:space="0" w:color="auto"/>
        <w:bottom w:val="none" w:sz="0" w:space="0" w:color="auto"/>
        <w:right w:val="none" w:sz="0" w:space="0" w:color="auto"/>
      </w:divBdr>
    </w:div>
    <w:div w:id="1080322913">
      <w:bodyDiv w:val="1"/>
      <w:marLeft w:val="0"/>
      <w:marRight w:val="0"/>
      <w:marTop w:val="0"/>
      <w:marBottom w:val="0"/>
      <w:divBdr>
        <w:top w:val="none" w:sz="0" w:space="0" w:color="auto"/>
        <w:left w:val="none" w:sz="0" w:space="0" w:color="auto"/>
        <w:bottom w:val="none" w:sz="0" w:space="0" w:color="auto"/>
        <w:right w:val="none" w:sz="0" w:space="0" w:color="auto"/>
      </w:divBdr>
    </w:div>
    <w:div w:id="1134446626">
      <w:bodyDiv w:val="1"/>
      <w:marLeft w:val="0"/>
      <w:marRight w:val="0"/>
      <w:marTop w:val="0"/>
      <w:marBottom w:val="0"/>
      <w:divBdr>
        <w:top w:val="none" w:sz="0" w:space="0" w:color="auto"/>
        <w:left w:val="none" w:sz="0" w:space="0" w:color="auto"/>
        <w:bottom w:val="none" w:sz="0" w:space="0" w:color="auto"/>
        <w:right w:val="none" w:sz="0" w:space="0" w:color="auto"/>
      </w:divBdr>
    </w:div>
    <w:div w:id="1203783174">
      <w:bodyDiv w:val="1"/>
      <w:marLeft w:val="0"/>
      <w:marRight w:val="0"/>
      <w:marTop w:val="0"/>
      <w:marBottom w:val="0"/>
      <w:divBdr>
        <w:top w:val="none" w:sz="0" w:space="0" w:color="auto"/>
        <w:left w:val="none" w:sz="0" w:space="0" w:color="auto"/>
        <w:bottom w:val="none" w:sz="0" w:space="0" w:color="auto"/>
        <w:right w:val="none" w:sz="0" w:space="0" w:color="auto"/>
      </w:divBdr>
    </w:div>
    <w:div w:id="1215044848">
      <w:bodyDiv w:val="1"/>
      <w:marLeft w:val="0"/>
      <w:marRight w:val="0"/>
      <w:marTop w:val="0"/>
      <w:marBottom w:val="0"/>
      <w:divBdr>
        <w:top w:val="none" w:sz="0" w:space="0" w:color="auto"/>
        <w:left w:val="none" w:sz="0" w:space="0" w:color="auto"/>
        <w:bottom w:val="none" w:sz="0" w:space="0" w:color="auto"/>
        <w:right w:val="none" w:sz="0" w:space="0" w:color="auto"/>
      </w:divBdr>
    </w:div>
    <w:div w:id="1259602246">
      <w:bodyDiv w:val="1"/>
      <w:marLeft w:val="0"/>
      <w:marRight w:val="0"/>
      <w:marTop w:val="0"/>
      <w:marBottom w:val="0"/>
      <w:divBdr>
        <w:top w:val="none" w:sz="0" w:space="0" w:color="auto"/>
        <w:left w:val="none" w:sz="0" w:space="0" w:color="auto"/>
        <w:bottom w:val="none" w:sz="0" w:space="0" w:color="auto"/>
        <w:right w:val="none" w:sz="0" w:space="0" w:color="auto"/>
      </w:divBdr>
    </w:div>
    <w:div w:id="1278369371">
      <w:bodyDiv w:val="1"/>
      <w:marLeft w:val="0"/>
      <w:marRight w:val="0"/>
      <w:marTop w:val="0"/>
      <w:marBottom w:val="0"/>
      <w:divBdr>
        <w:top w:val="none" w:sz="0" w:space="0" w:color="auto"/>
        <w:left w:val="none" w:sz="0" w:space="0" w:color="auto"/>
        <w:bottom w:val="none" w:sz="0" w:space="0" w:color="auto"/>
        <w:right w:val="none" w:sz="0" w:space="0" w:color="auto"/>
      </w:divBdr>
    </w:div>
    <w:div w:id="1295914340">
      <w:bodyDiv w:val="1"/>
      <w:marLeft w:val="0"/>
      <w:marRight w:val="0"/>
      <w:marTop w:val="0"/>
      <w:marBottom w:val="0"/>
      <w:divBdr>
        <w:top w:val="none" w:sz="0" w:space="0" w:color="auto"/>
        <w:left w:val="none" w:sz="0" w:space="0" w:color="auto"/>
        <w:bottom w:val="none" w:sz="0" w:space="0" w:color="auto"/>
        <w:right w:val="none" w:sz="0" w:space="0" w:color="auto"/>
      </w:divBdr>
    </w:div>
    <w:div w:id="1324090356">
      <w:bodyDiv w:val="1"/>
      <w:marLeft w:val="0"/>
      <w:marRight w:val="0"/>
      <w:marTop w:val="0"/>
      <w:marBottom w:val="0"/>
      <w:divBdr>
        <w:top w:val="none" w:sz="0" w:space="0" w:color="auto"/>
        <w:left w:val="none" w:sz="0" w:space="0" w:color="auto"/>
        <w:bottom w:val="none" w:sz="0" w:space="0" w:color="auto"/>
        <w:right w:val="none" w:sz="0" w:space="0" w:color="auto"/>
      </w:divBdr>
    </w:div>
    <w:div w:id="1336499263">
      <w:bodyDiv w:val="1"/>
      <w:marLeft w:val="0"/>
      <w:marRight w:val="0"/>
      <w:marTop w:val="0"/>
      <w:marBottom w:val="0"/>
      <w:divBdr>
        <w:top w:val="none" w:sz="0" w:space="0" w:color="auto"/>
        <w:left w:val="none" w:sz="0" w:space="0" w:color="auto"/>
        <w:bottom w:val="none" w:sz="0" w:space="0" w:color="auto"/>
        <w:right w:val="none" w:sz="0" w:space="0" w:color="auto"/>
      </w:divBdr>
    </w:div>
    <w:div w:id="1375275760">
      <w:bodyDiv w:val="1"/>
      <w:marLeft w:val="0"/>
      <w:marRight w:val="0"/>
      <w:marTop w:val="0"/>
      <w:marBottom w:val="0"/>
      <w:divBdr>
        <w:top w:val="none" w:sz="0" w:space="0" w:color="auto"/>
        <w:left w:val="none" w:sz="0" w:space="0" w:color="auto"/>
        <w:bottom w:val="none" w:sz="0" w:space="0" w:color="auto"/>
        <w:right w:val="none" w:sz="0" w:space="0" w:color="auto"/>
      </w:divBdr>
    </w:div>
    <w:div w:id="1406149448">
      <w:bodyDiv w:val="1"/>
      <w:marLeft w:val="0"/>
      <w:marRight w:val="0"/>
      <w:marTop w:val="0"/>
      <w:marBottom w:val="0"/>
      <w:divBdr>
        <w:top w:val="none" w:sz="0" w:space="0" w:color="auto"/>
        <w:left w:val="none" w:sz="0" w:space="0" w:color="auto"/>
        <w:bottom w:val="none" w:sz="0" w:space="0" w:color="auto"/>
        <w:right w:val="none" w:sz="0" w:space="0" w:color="auto"/>
      </w:divBdr>
    </w:div>
    <w:div w:id="1441877602">
      <w:bodyDiv w:val="1"/>
      <w:marLeft w:val="0"/>
      <w:marRight w:val="0"/>
      <w:marTop w:val="0"/>
      <w:marBottom w:val="0"/>
      <w:divBdr>
        <w:top w:val="none" w:sz="0" w:space="0" w:color="auto"/>
        <w:left w:val="none" w:sz="0" w:space="0" w:color="auto"/>
        <w:bottom w:val="none" w:sz="0" w:space="0" w:color="auto"/>
        <w:right w:val="none" w:sz="0" w:space="0" w:color="auto"/>
      </w:divBdr>
      <w:divsChild>
        <w:div w:id="1243948797">
          <w:marLeft w:val="547"/>
          <w:marRight w:val="0"/>
          <w:marTop w:val="134"/>
          <w:marBottom w:val="0"/>
          <w:divBdr>
            <w:top w:val="none" w:sz="0" w:space="0" w:color="auto"/>
            <w:left w:val="none" w:sz="0" w:space="0" w:color="auto"/>
            <w:bottom w:val="none" w:sz="0" w:space="0" w:color="auto"/>
            <w:right w:val="none" w:sz="0" w:space="0" w:color="auto"/>
          </w:divBdr>
        </w:div>
        <w:div w:id="803080112">
          <w:marLeft w:val="1166"/>
          <w:marRight w:val="0"/>
          <w:marTop w:val="115"/>
          <w:marBottom w:val="0"/>
          <w:divBdr>
            <w:top w:val="none" w:sz="0" w:space="0" w:color="auto"/>
            <w:left w:val="none" w:sz="0" w:space="0" w:color="auto"/>
            <w:bottom w:val="none" w:sz="0" w:space="0" w:color="auto"/>
            <w:right w:val="none" w:sz="0" w:space="0" w:color="auto"/>
          </w:divBdr>
        </w:div>
        <w:div w:id="720635915">
          <w:marLeft w:val="1800"/>
          <w:marRight w:val="0"/>
          <w:marTop w:val="115"/>
          <w:marBottom w:val="0"/>
          <w:divBdr>
            <w:top w:val="none" w:sz="0" w:space="0" w:color="auto"/>
            <w:left w:val="none" w:sz="0" w:space="0" w:color="auto"/>
            <w:bottom w:val="none" w:sz="0" w:space="0" w:color="auto"/>
            <w:right w:val="none" w:sz="0" w:space="0" w:color="auto"/>
          </w:divBdr>
        </w:div>
        <w:div w:id="1882210007">
          <w:marLeft w:val="1800"/>
          <w:marRight w:val="0"/>
          <w:marTop w:val="115"/>
          <w:marBottom w:val="0"/>
          <w:divBdr>
            <w:top w:val="none" w:sz="0" w:space="0" w:color="auto"/>
            <w:left w:val="none" w:sz="0" w:space="0" w:color="auto"/>
            <w:bottom w:val="none" w:sz="0" w:space="0" w:color="auto"/>
            <w:right w:val="none" w:sz="0" w:space="0" w:color="auto"/>
          </w:divBdr>
        </w:div>
      </w:divsChild>
    </w:div>
    <w:div w:id="1470056847">
      <w:bodyDiv w:val="1"/>
      <w:marLeft w:val="0"/>
      <w:marRight w:val="0"/>
      <w:marTop w:val="0"/>
      <w:marBottom w:val="0"/>
      <w:divBdr>
        <w:top w:val="none" w:sz="0" w:space="0" w:color="auto"/>
        <w:left w:val="none" w:sz="0" w:space="0" w:color="auto"/>
        <w:bottom w:val="none" w:sz="0" w:space="0" w:color="auto"/>
        <w:right w:val="none" w:sz="0" w:space="0" w:color="auto"/>
      </w:divBdr>
    </w:div>
    <w:div w:id="1471051334">
      <w:bodyDiv w:val="1"/>
      <w:marLeft w:val="0"/>
      <w:marRight w:val="0"/>
      <w:marTop w:val="0"/>
      <w:marBottom w:val="0"/>
      <w:divBdr>
        <w:top w:val="none" w:sz="0" w:space="0" w:color="auto"/>
        <w:left w:val="none" w:sz="0" w:space="0" w:color="auto"/>
        <w:bottom w:val="none" w:sz="0" w:space="0" w:color="auto"/>
        <w:right w:val="none" w:sz="0" w:space="0" w:color="auto"/>
      </w:divBdr>
    </w:div>
    <w:div w:id="1500384811">
      <w:bodyDiv w:val="1"/>
      <w:marLeft w:val="0"/>
      <w:marRight w:val="0"/>
      <w:marTop w:val="0"/>
      <w:marBottom w:val="0"/>
      <w:divBdr>
        <w:top w:val="none" w:sz="0" w:space="0" w:color="auto"/>
        <w:left w:val="none" w:sz="0" w:space="0" w:color="auto"/>
        <w:bottom w:val="none" w:sz="0" w:space="0" w:color="auto"/>
        <w:right w:val="none" w:sz="0" w:space="0" w:color="auto"/>
      </w:divBdr>
    </w:div>
    <w:div w:id="1507592649">
      <w:bodyDiv w:val="1"/>
      <w:marLeft w:val="0"/>
      <w:marRight w:val="0"/>
      <w:marTop w:val="0"/>
      <w:marBottom w:val="0"/>
      <w:divBdr>
        <w:top w:val="none" w:sz="0" w:space="0" w:color="auto"/>
        <w:left w:val="none" w:sz="0" w:space="0" w:color="auto"/>
        <w:bottom w:val="none" w:sz="0" w:space="0" w:color="auto"/>
        <w:right w:val="none" w:sz="0" w:space="0" w:color="auto"/>
      </w:divBdr>
    </w:div>
    <w:div w:id="1605963177">
      <w:bodyDiv w:val="1"/>
      <w:marLeft w:val="0"/>
      <w:marRight w:val="0"/>
      <w:marTop w:val="0"/>
      <w:marBottom w:val="0"/>
      <w:divBdr>
        <w:top w:val="none" w:sz="0" w:space="0" w:color="auto"/>
        <w:left w:val="none" w:sz="0" w:space="0" w:color="auto"/>
        <w:bottom w:val="none" w:sz="0" w:space="0" w:color="auto"/>
        <w:right w:val="none" w:sz="0" w:space="0" w:color="auto"/>
      </w:divBdr>
    </w:div>
    <w:div w:id="1648783116">
      <w:bodyDiv w:val="1"/>
      <w:marLeft w:val="0"/>
      <w:marRight w:val="0"/>
      <w:marTop w:val="0"/>
      <w:marBottom w:val="0"/>
      <w:divBdr>
        <w:top w:val="none" w:sz="0" w:space="0" w:color="auto"/>
        <w:left w:val="none" w:sz="0" w:space="0" w:color="auto"/>
        <w:bottom w:val="none" w:sz="0" w:space="0" w:color="auto"/>
        <w:right w:val="none" w:sz="0" w:space="0" w:color="auto"/>
      </w:divBdr>
    </w:div>
    <w:div w:id="1652179004">
      <w:bodyDiv w:val="1"/>
      <w:marLeft w:val="0"/>
      <w:marRight w:val="0"/>
      <w:marTop w:val="0"/>
      <w:marBottom w:val="0"/>
      <w:divBdr>
        <w:top w:val="none" w:sz="0" w:space="0" w:color="auto"/>
        <w:left w:val="none" w:sz="0" w:space="0" w:color="auto"/>
        <w:bottom w:val="none" w:sz="0" w:space="0" w:color="auto"/>
        <w:right w:val="none" w:sz="0" w:space="0" w:color="auto"/>
      </w:divBdr>
    </w:div>
    <w:div w:id="1652366622">
      <w:bodyDiv w:val="1"/>
      <w:marLeft w:val="0"/>
      <w:marRight w:val="0"/>
      <w:marTop w:val="0"/>
      <w:marBottom w:val="0"/>
      <w:divBdr>
        <w:top w:val="none" w:sz="0" w:space="0" w:color="auto"/>
        <w:left w:val="none" w:sz="0" w:space="0" w:color="auto"/>
        <w:bottom w:val="none" w:sz="0" w:space="0" w:color="auto"/>
        <w:right w:val="none" w:sz="0" w:space="0" w:color="auto"/>
      </w:divBdr>
    </w:div>
    <w:div w:id="1652563894">
      <w:bodyDiv w:val="1"/>
      <w:marLeft w:val="0"/>
      <w:marRight w:val="0"/>
      <w:marTop w:val="0"/>
      <w:marBottom w:val="0"/>
      <w:divBdr>
        <w:top w:val="none" w:sz="0" w:space="0" w:color="auto"/>
        <w:left w:val="none" w:sz="0" w:space="0" w:color="auto"/>
        <w:bottom w:val="none" w:sz="0" w:space="0" w:color="auto"/>
        <w:right w:val="none" w:sz="0" w:space="0" w:color="auto"/>
      </w:divBdr>
    </w:div>
    <w:div w:id="1653677436">
      <w:bodyDiv w:val="1"/>
      <w:marLeft w:val="0"/>
      <w:marRight w:val="0"/>
      <w:marTop w:val="0"/>
      <w:marBottom w:val="0"/>
      <w:divBdr>
        <w:top w:val="none" w:sz="0" w:space="0" w:color="auto"/>
        <w:left w:val="none" w:sz="0" w:space="0" w:color="auto"/>
        <w:bottom w:val="none" w:sz="0" w:space="0" w:color="auto"/>
        <w:right w:val="none" w:sz="0" w:space="0" w:color="auto"/>
      </w:divBdr>
    </w:div>
    <w:div w:id="1662736179">
      <w:bodyDiv w:val="1"/>
      <w:marLeft w:val="0"/>
      <w:marRight w:val="0"/>
      <w:marTop w:val="0"/>
      <w:marBottom w:val="0"/>
      <w:divBdr>
        <w:top w:val="none" w:sz="0" w:space="0" w:color="auto"/>
        <w:left w:val="none" w:sz="0" w:space="0" w:color="auto"/>
        <w:bottom w:val="none" w:sz="0" w:space="0" w:color="auto"/>
        <w:right w:val="none" w:sz="0" w:space="0" w:color="auto"/>
      </w:divBdr>
    </w:div>
    <w:div w:id="1711570860">
      <w:bodyDiv w:val="1"/>
      <w:marLeft w:val="0"/>
      <w:marRight w:val="0"/>
      <w:marTop w:val="0"/>
      <w:marBottom w:val="0"/>
      <w:divBdr>
        <w:top w:val="none" w:sz="0" w:space="0" w:color="auto"/>
        <w:left w:val="none" w:sz="0" w:space="0" w:color="auto"/>
        <w:bottom w:val="none" w:sz="0" w:space="0" w:color="auto"/>
        <w:right w:val="none" w:sz="0" w:space="0" w:color="auto"/>
      </w:divBdr>
    </w:div>
    <w:div w:id="1720931411">
      <w:bodyDiv w:val="1"/>
      <w:marLeft w:val="0"/>
      <w:marRight w:val="0"/>
      <w:marTop w:val="0"/>
      <w:marBottom w:val="0"/>
      <w:divBdr>
        <w:top w:val="none" w:sz="0" w:space="0" w:color="auto"/>
        <w:left w:val="none" w:sz="0" w:space="0" w:color="auto"/>
        <w:bottom w:val="none" w:sz="0" w:space="0" w:color="auto"/>
        <w:right w:val="none" w:sz="0" w:space="0" w:color="auto"/>
      </w:divBdr>
    </w:div>
    <w:div w:id="1735545147">
      <w:bodyDiv w:val="1"/>
      <w:marLeft w:val="0"/>
      <w:marRight w:val="0"/>
      <w:marTop w:val="0"/>
      <w:marBottom w:val="0"/>
      <w:divBdr>
        <w:top w:val="none" w:sz="0" w:space="0" w:color="auto"/>
        <w:left w:val="none" w:sz="0" w:space="0" w:color="auto"/>
        <w:bottom w:val="none" w:sz="0" w:space="0" w:color="auto"/>
        <w:right w:val="none" w:sz="0" w:space="0" w:color="auto"/>
      </w:divBdr>
    </w:div>
    <w:div w:id="1744640604">
      <w:bodyDiv w:val="1"/>
      <w:marLeft w:val="0"/>
      <w:marRight w:val="0"/>
      <w:marTop w:val="0"/>
      <w:marBottom w:val="0"/>
      <w:divBdr>
        <w:top w:val="none" w:sz="0" w:space="0" w:color="auto"/>
        <w:left w:val="none" w:sz="0" w:space="0" w:color="auto"/>
        <w:bottom w:val="none" w:sz="0" w:space="0" w:color="auto"/>
        <w:right w:val="none" w:sz="0" w:space="0" w:color="auto"/>
      </w:divBdr>
    </w:div>
    <w:div w:id="1750224976">
      <w:bodyDiv w:val="1"/>
      <w:marLeft w:val="0"/>
      <w:marRight w:val="0"/>
      <w:marTop w:val="0"/>
      <w:marBottom w:val="0"/>
      <w:divBdr>
        <w:top w:val="none" w:sz="0" w:space="0" w:color="auto"/>
        <w:left w:val="none" w:sz="0" w:space="0" w:color="auto"/>
        <w:bottom w:val="none" w:sz="0" w:space="0" w:color="auto"/>
        <w:right w:val="none" w:sz="0" w:space="0" w:color="auto"/>
      </w:divBdr>
    </w:div>
    <w:div w:id="1773740550">
      <w:bodyDiv w:val="1"/>
      <w:marLeft w:val="0"/>
      <w:marRight w:val="0"/>
      <w:marTop w:val="0"/>
      <w:marBottom w:val="0"/>
      <w:divBdr>
        <w:top w:val="none" w:sz="0" w:space="0" w:color="auto"/>
        <w:left w:val="none" w:sz="0" w:space="0" w:color="auto"/>
        <w:bottom w:val="none" w:sz="0" w:space="0" w:color="auto"/>
        <w:right w:val="none" w:sz="0" w:space="0" w:color="auto"/>
      </w:divBdr>
    </w:div>
    <w:div w:id="1795247324">
      <w:bodyDiv w:val="1"/>
      <w:marLeft w:val="0"/>
      <w:marRight w:val="0"/>
      <w:marTop w:val="0"/>
      <w:marBottom w:val="0"/>
      <w:divBdr>
        <w:top w:val="none" w:sz="0" w:space="0" w:color="auto"/>
        <w:left w:val="none" w:sz="0" w:space="0" w:color="auto"/>
        <w:bottom w:val="none" w:sz="0" w:space="0" w:color="auto"/>
        <w:right w:val="none" w:sz="0" w:space="0" w:color="auto"/>
      </w:divBdr>
    </w:div>
    <w:div w:id="1818692045">
      <w:bodyDiv w:val="1"/>
      <w:marLeft w:val="0"/>
      <w:marRight w:val="0"/>
      <w:marTop w:val="0"/>
      <w:marBottom w:val="0"/>
      <w:divBdr>
        <w:top w:val="none" w:sz="0" w:space="0" w:color="auto"/>
        <w:left w:val="none" w:sz="0" w:space="0" w:color="auto"/>
        <w:bottom w:val="none" w:sz="0" w:space="0" w:color="auto"/>
        <w:right w:val="none" w:sz="0" w:space="0" w:color="auto"/>
      </w:divBdr>
    </w:div>
    <w:div w:id="1821338199">
      <w:bodyDiv w:val="1"/>
      <w:marLeft w:val="0"/>
      <w:marRight w:val="0"/>
      <w:marTop w:val="0"/>
      <w:marBottom w:val="0"/>
      <w:divBdr>
        <w:top w:val="none" w:sz="0" w:space="0" w:color="auto"/>
        <w:left w:val="none" w:sz="0" w:space="0" w:color="auto"/>
        <w:bottom w:val="none" w:sz="0" w:space="0" w:color="auto"/>
        <w:right w:val="none" w:sz="0" w:space="0" w:color="auto"/>
      </w:divBdr>
    </w:div>
    <w:div w:id="1824392333">
      <w:bodyDiv w:val="1"/>
      <w:marLeft w:val="0"/>
      <w:marRight w:val="0"/>
      <w:marTop w:val="0"/>
      <w:marBottom w:val="0"/>
      <w:divBdr>
        <w:top w:val="none" w:sz="0" w:space="0" w:color="auto"/>
        <w:left w:val="none" w:sz="0" w:space="0" w:color="auto"/>
        <w:bottom w:val="none" w:sz="0" w:space="0" w:color="auto"/>
        <w:right w:val="none" w:sz="0" w:space="0" w:color="auto"/>
      </w:divBdr>
    </w:div>
    <w:div w:id="1836264006">
      <w:bodyDiv w:val="1"/>
      <w:marLeft w:val="0"/>
      <w:marRight w:val="0"/>
      <w:marTop w:val="0"/>
      <w:marBottom w:val="0"/>
      <w:divBdr>
        <w:top w:val="none" w:sz="0" w:space="0" w:color="auto"/>
        <w:left w:val="none" w:sz="0" w:space="0" w:color="auto"/>
        <w:bottom w:val="none" w:sz="0" w:space="0" w:color="auto"/>
        <w:right w:val="none" w:sz="0" w:space="0" w:color="auto"/>
      </w:divBdr>
    </w:div>
    <w:div w:id="1857694694">
      <w:bodyDiv w:val="1"/>
      <w:marLeft w:val="0"/>
      <w:marRight w:val="0"/>
      <w:marTop w:val="0"/>
      <w:marBottom w:val="0"/>
      <w:divBdr>
        <w:top w:val="none" w:sz="0" w:space="0" w:color="auto"/>
        <w:left w:val="none" w:sz="0" w:space="0" w:color="auto"/>
        <w:bottom w:val="none" w:sz="0" w:space="0" w:color="auto"/>
        <w:right w:val="none" w:sz="0" w:space="0" w:color="auto"/>
      </w:divBdr>
    </w:div>
    <w:div w:id="1860314742">
      <w:bodyDiv w:val="1"/>
      <w:marLeft w:val="0"/>
      <w:marRight w:val="0"/>
      <w:marTop w:val="0"/>
      <w:marBottom w:val="0"/>
      <w:divBdr>
        <w:top w:val="none" w:sz="0" w:space="0" w:color="auto"/>
        <w:left w:val="none" w:sz="0" w:space="0" w:color="auto"/>
        <w:bottom w:val="none" w:sz="0" w:space="0" w:color="auto"/>
        <w:right w:val="none" w:sz="0" w:space="0" w:color="auto"/>
      </w:divBdr>
    </w:div>
    <w:div w:id="1888641755">
      <w:bodyDiv w:val="1"/>
      <w:marLeft w:val="0"/>
      <w:marRight w:val="0"/>
      <w:marTop w:val="0"/>
      <w:marBottom w:val="0"/>
      <w:divBdr>
        <w:top w:val="none" w:sz="0" w:space="0" w:color="auto"/>
        <w:left w:val="none" w:sz="0" w:space="0" w:color="auto"/>
        <w:bottom w:val="none" w:sz="0" w:space="0" w:color="auto"/>
        <w:right w:val="none" w:sz="0" w:space="0" w:color="auto"/>
      </w:divBdr>
    </w:div>
    <w:div w:id="1915511890">
      <w:bodyDiv w:val="1"/>
      <w:marLeft w:val="0"/>
      <w:marRight w:val="0"/>
      <w:marTop w:val="0"/>
      <w:marBottom w:val="0"/>
      <w:divBdr>
        <w:top w:val="none" w:sz="0" w:space="0" w:color="auto"/>
        <w:left w:val="none" w:sz="0" w:space="0" w:color="auto"/>
        <w:bottom w:val="none" w:sz="0" w:space="0" w:color="auto"/>
        <w:right w:val="none" w:sz="0" w:space="0" w:color="auto"/>
      </w:divBdr>
    </w:div>
    <w:div w:id="1921333788">
      <w:bodyDiv w:val="1"/>
      <w:marLeft w:val="0"/>
      <w:marRight w:val="0"/>
      <w:marTop w:val="0"/>
      <w:marBottom w:val="0"/>
      <w:divBdr>
        <w:top w:val="none" w:sz="0" w:space="0" w:color="auto"/>
        <w:left w:val="none" w:sz="0" w:space="0" w:color="auto"/>
        <w:bottom w:val="none" w:sz="0" w:space="0" w:color="auto"/>
        <w:right w:val="none" w:sz="0" w:space="0" w:color="auto"/>
      </w:divBdr>
    </w:div>
    <w:div w:id="1960145331">
      <w:bodyDiv w:val="1"/>
      <w:marLeft w:val="0"/>
      <w:marRight w:val="0"/>
      <w:marTop w:val="0"/>
      <w:marBottom w:val="0"/>
      <w:divBdr>
        <w:top w:val="none" w:sz="0" w:space="0" w:color="auto"/>
        <w:left w:val="none" w:sz="0" w:space="0" w:color="auto"/>
        <w:bottom w:val="none" w:sz="0" w:space="0" w:color="auto"/>
        <w:right w:val="none" w:sz="0" w:space="0" w:color="auto"/>
      </w:divBdr>
    </w:div>
    <w:div w:id="1964266316">
      <w:bodyDiv w:val="1"/>
      <w:marLeft w:val="0"/>
      <w:marRight w:val="0"/>
      <w:marTop w:val="0"/>
      <w:marBottom w:val="0"/>
      <w:divBdr>
        <w:top w:val="none" w:sz="0" w:space="0" w:color="auto"/>
        <w:left w:val="none" w:sz="0" w:space="0" w:color="auto"/>
        <w:bottom w:val="none" w:sz="0" w:space="0" w:color="auto"/>
        <w:right w:val="none" w:sz="0" w:space="0" w:color="auto"/>
      </w:divBdr>
    </w:div>
    <w:div w:id="1975869864">
      <w:bodyDiv w:val="1"/>
      <w:marLeft w:val="0"/>
      <w:marRight w:val="0"/>
      <w:marTop w:val="0"/>
      <w:marBottom w:val="0"/>
      <w:divBdr>
        <w:top w:val="none" w:sz="0" w:space="0" w:color="auto"/>
        <w:left w:val="none" w:sz="0" w:space="0" w:color="auto"/>
        <w:bottom w:val="none" w:sz="0" w:space="0" w:color="auto"/>
        <w:right w:val="none" w:sz="0" w:space="0" w:color="auto"/>
      </w:divBdr>
    </w:div>
    <w:div w:id="1982925424">
      <w:bodyDiv w:val="1"/>
      <w:marLeft w:val="0"/>
      <w:marRight w:val="0"/>
      <w:marTop w:val="0"/>
      <w:marBottom w:val="0"/>
      <w:divBdr>
        <w:top w:val="none" w:sz="0" w:space="0" w:color="auto"/>
        <w:left w:val="none" w:sz="0" w:space="0" w:color="auto"/>
        <w:bottom w:val="none" w:sz="0" w:space="0" w:color="auto"/>
        <w:right w:val="none" w:sz="0" w:space="0" w:color="auto"/>
      </w:divBdr>
    </w:div>
    <w:div w:id="1984651613">
      <w:bodyDiv w:val="1"/>
      <w:marLeft w:val="0"/>
      <w:marRight w:val="0"/>
      <w:marTop w:val="0"/>
      <w:marBottom w:val="0"/>
      <w:divBdr>
        <w:top w:val="none" w:sz="0" w:space="0" w:color="auto"/>
        <w:left w:val="none" w:sz="0" w:space="0" w:color="auto"/>
        <w:bottom w:val="none" w:sz="0" w:space="0" w:color="auto"/>
        <w:right w:val="none" w:sz="0" w:space="0" w:color="auto"/>
      </w:divBdr>
    </w:div>
    <w:div w:id="1988433031">
      <w:bodyDiv w:val="1"/>
      <w:marLeft w:val="0"/>
      <w:marRight w:val="0"/>
      <w:marTop w:val="0"/>
      <w:marBottom w:val="0"/>
      <w:divBdr>
        <w:top w:val="none" w:sz="0" w:space="0" w:color="auto"/>
        <w:left w:val="none" w:sz="0" w:space="0" w:color="auto"/>
        <w:bottom w:val="none" w:sz="0" w:space="0" w:color="auto"/>
        <w:right w:val="none" w:sz="0" w:space="0" w:color="auto"/>
      </w:divBdr>
    </w:div>
    <w:div w:id="1994482159">
      <w:bodyDiv w:val="1"/>
      <w:marLeft w:val="0"/>
      <w:marRight w:val="0"/>
      <w:marTop w:val="0"/>
      <w:marBottom w:val="0"/>
      <w:divBdr>
        <w:top w:val="none" w:sz="0" w:space="0" w:color="auto"/>
        <w:left w:val="none" w:sz="0" w:space="0" w:color="auto"/>
        <w:bottom w:val="none" w:sz="0" w:space="0" w:color="auto"/>
        <w:right w:val="none" w:sz="0" w:space="0" w:color="auto"/>
      </w:divBdr>
    </w:div>
    <w:div w:id="2001496906">
      <w:bodyDiv w:val="1"/>
      <w:marLeft w:val="0"/>
      <w:marRight w:val="0"/>
      <w:marTop w:val="0"/>
      <w:marBottom w:val="0"/>
      <w:divBdr>
        <w:top w:val="none" w:sz="0" w:space="0" w:color="auto"/>
        <w:left w:val="none" w:sz="0" w:space="0" w:color="auto"/>
        <w:bottom w:val="none" w:sz="0" w:space="0" w:color="auto"/>
        <w:right w:val="none" w:sz="0" w:space="0" w:color="auto"/>
      </w:divBdr>
    </w:div>
    <w:div w:id="2007786194">
      <w:bodyDiv w:val="1"/>
      <w:marLeft w:val="0"/>
      <w:marRight w:val="0"/>
      <w:marTop w:val="0"/>
      <w:marBottom w:val="0"/>
      <w:divBdr>
        <w:top w:val="none" w:sz="0" w:space="0" w:color="auto"/>
        <w:left w:val="none" w:sz="0" w:space="0" w:color="auto"/>
        <w:bottom w:val="none" w:sz="0" w:space="0" w:color="auto"/>
        <w:right w:val="none" w:sz="0" w:space="0" w:color="auto"/>
      </w:divBdr>
    </w:div>
    <w:div w:id="2039892102">
      <w:bodyDiv w:val="1"/>
      <w:marLeft w:val="0"/>
      <w:marRight w:val="0"/>
      <w:marTop w:val="0"/>
      <w:marBottom w:val="0"/>
      <w:divBdr>
        <w:top w:val="none" w:sz="0" w:space="0" w:color="auto"/>
        <w:left w:val="none" w:sz="0" w:space="0" w:color="auto"/>
        <w:bottom w:val="none" w:sz="0" w:space="0" w:color="auto"/>
        <w:right w:val="none" w:sz="0" w:space="0" w:color="auto"/>
      </w:divBdr>
    </w:div>
    <w:div w:id="2113938509">
      <w:bodyDiv w:val="1"/>
      <w:marLeft w:val="0"/>
      <w:marRight w:val="0"/>
      <w:marTop w:val="0"/>
      <w:marBottom w:val="0"/>
      <w:divBdr>
        <w:top w:val="none" w:sz="0" w:space="0" w:color="auto"/>
        <w:left w:val="none" w:sz="0" w:space="0" w:color="auto"/>
        <w:bottom w:val="none" w:sz="0" w:space="0" w:color="auto"/>
        <w:right w:val="none" w:sz="0" w:space="0" w:color="auto"/>
      </w:divBdr>
    </w:div>
    <w:div w:id="2114935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62</TotalTime>
  <Pages>2</Pages>
  <Words>937</Words>
  <Characters>5345</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BM 410-1 Day One Notes and Objectives</vt:lpstr>
    </vt:vector>
  </TitlesOfParts>
  <Company>Brigham Young University</Company>
  <LinksUpToDate>false</LinksUpToDate>
  <CharactersWithSpaces>6270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BM 410-1 Day One Notes and Objectives</dc:title>
  <dc:subject/>
  <dc:creator>Bryan Sudweeks</dc:creator>
  <cp:keywords/>
  <cp:lastModifiedBy>Bryan Sudweeks</cp:lastModifiedBy>
  <cp:revision>9</cp:revision>
  <cp:lastPrinted>2015-03-05T19:49:00Z</cp:lastPrinted>
  <dcterms:created xsi:type="dcterms:W3CDTF">2015-03-05T19:31:00Z</dcterms:created>
  <dcterms:modified xsi:type="dcterms:W3CDTF">2017-11-15T14:26:00Z</dcterms:modified>
</cp:coreProperties>
</file>