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9239E5D" w14:textId="6E65A0FB" w:rsidR="008A6883" w:rsidRDefault="00F91EBB" w:rsidP="009E1DE5">
      <w:pPr>
        <w:pStyle w:val="Heading1"/>
        <w:keepNext w:val="0"/>
        <w:widowControl w:val="0"/>
        <w:jc w:val="center"/>
      </w:pPr>
      <w:r>
        <w:t>Before You Invest</w:t>
      </w:r>
      <w:r>
        <w:t xml:space="preserve"> </w:t>
      </w:r>
      <w:r w:rsidR="004168D7">
        <w:t>Terminology</w:t>
      </w:r>
      <w:bookmarkStart w:id="0" w:name="_GoBack"/>
      <w:bookmarkEnd w:id="0"/>
      <w:r w:rsidR="00FF630A">
        <w:t xml:space="preserve"> </w:t>
      </w:r>
    </w:p>
    <w:p w14:paraId="667F438E" w14:textId="649A76BA" w:rsidR="00EF5AA6" w:rsidRDefault="004168D7" w:rsidP="00053F05">
      <w:pPr>
        <w:widowControl w:val="0"/>
        <w:jc w:val="center"/>
        <w:rPr>
          <w:b/>
          <w:bCs/>
        </w:rPr>
      </w:pPr>
      <w:r>
        <w:rPr>
          <w:b/>
          <w:bCs/>
        </w:rPr>
        <w:t>Sudweeks</w:t>
      </w:r>
      <w:r w:rsidR="00F91EBB">
        <w:rPr>
          <w:b/>
          <w:bCs/>
        </w:rPr>
        <w:t xml:space="preserve"> </w:t>
      </w:r>
      <w:r w:rsidR="00F91EBB">
        <w:t>MBA620/Fin 418-14 Day 14</w:t>
      </w:r>
    </w:p>
    <w:p w14:paraId="3B4F7C79" w14:textId="77777777" w:rsidR="004168D7" w:rsidRPr="00053F05" w:rsidRDefault="004168D7" w:rsidP="004168D7">
      <w:pPr>
        <w:widowControl w:val="0"/>
        <w:pBdr>
          <w:bottom w:val="single" w:sz="4" w:space="1" w:color="auto"/>
        </w:pBdr>
        <w:jc w:val="center"/>
        <w:rPr>
          <w:b/>
          <w:bCs/>
        </w:rPr>
      </w:pPr>
    </w:p>
    <w:p w14:paraId="7366F848" w14:textId="77777777" w:rsidR="004168D7" w:rsidRDefault="004168D7" w:rsidP="009E1DE5">
      <w:pPr>
        <w:widowControl w:val="0"/>
      </w:pPr>
    </w:p>
    <w:p w14:paraId="504FE98D" w14:textId="77777777" w:rsidR="00411CFA" w:rsidRDefault="00411CFA" w:rsidP="009E1DE5">
      <w:pPr>
        <w:widowControl w:val="0"/>
      </w:pPr>
      <w:r w:rsidRPr="00411CFA">
        <w:rPr>
          <w:b/>
        </w:rPr>
        <w:t>Asset allocation</w:t>
      </w:r>
      <w:r>
        <w:t>.  This is the process of managing risk in your investment portfolio.  Asset allocation is the process of allocating assets between various asset classes.  It determines the risk of the portfolio and is the percentage allocated to each of the different asset classes.</w:t>
      </w:r>
    </w:p>
    <w:p w14:paraId="24BFA8C1" w14:textId="77777777" w:rsidR="00411CFA" w:rsidRDefault="00411CFA" w:rsidP="003D39D0"/>
    <w:p w14:paraId="67B9C87B" w14:textId="77777777" w:rsidR="00411CFA" w:rsidRDefault="00411CFA" w:rsidP="003D39D0">
      <w:r w:rsidRPr="00411CFA">
        <w:rPr>
          <w:b/>
        </w:rPr>
        <w:t>Asset classes</w:t>
      </w:r>
      <w:r>
        <w:t>.  Asset classes are broad categories of investments with specific (and similar) risk and return characteristics.  Asset classes are distinguished by characteristics specific to particular groups of securities, such as type of financial instrument, market capitalization, maturity, geographic location, etc.  The major asset classes are cash and cash equivalents, fixed income, and equities.</w:t>
      </w:r>
    </w:p>
    <w:p w14:paraId="5D4D04C0" w14:textId="77777777" w:rsidR="00411CFA" w:rsidRDefault="00411CFA" w:rsidP="0008225F"/>
    <w:p w14:paraId="6EBC336E" w14:textId="77777777" w:rsidR="00411CFA" w:rsidRDefault="00411CFA" w:rsidP="0008225F">
      <w:r w:rsidRPr="00411CFA">
        <w:rPr>
          <w:b/>
        </w:rPr>
        <w:t>Blend stocks</w:t>
      </w:r>
      <w:r>
        <w:t>.  These are stock that are a part of both value and growth.</w:t>
      </w:r>
    </w:p>
    <w:p w14:paraId="450E0290" w14:textId="77777777" w:rsidR="00411CFA" w:rsidRDefault="00411CFA" w:rsidP="003D39D0">
      <w:pPr>
        <w:rPr>
          <w:sz w:val="22"/>
          <w:szCs w:val="22"/>
        </w:rPr>
      </w:pPr>
    </w:p>
    <w:p w14:paraId="4585350A" w14:textId="77777777" w:rsidR="00411CFA" w:rsidRDefault="00411CFA" w:rsidP="003D39D0">
      <w:r w:rsidRPr="00411CFA">
        <w:rPr>
          <w:b/>
          <w:sz w:val="22"/>
          <w:szCs w:val="22"/>
        </w:rPr>
        <w:t>Cash and Cash Equivalents</w:t>
      </w:r>
      <w:r>
        <w:rPr>
          <w:sz w:val="22"/>
          <w:szCs w:val="22"/>
        </w:rPr>
        <w:t>.  C</w:t>
      </w:r>
      <w:r>
        <w:t>ash and cash equivalents is an asset class whose major goal is liquidity and to preserve capital.  Cash includes CDs, money market funds, T-bills, and commercial paper, etc.  It also includes short-term interest-bearing investments such as treasury bills and savings bonds, loans to the U.S. government, commercial paper, and loans to corporations.  It is a good investment asset class for money you plan to use in less than 3-5 years and don’t want to take risks.  It is less attractive as medium-to-long-term investments (&gt; 5 years) as returns on cash and cash equivalents are unlikely to keep up with inflation.</w:t>
      </w:r>
    </w:p>
    <w:p w14:paraId="22509B99" w14:textId="77777777" w:rsidR="00411CFA" w:rsidRDefault="00411CFA" w:rsidP="00451B7C"/>
    <w:p w14:paraId="096E03B1" w14:textId="77777777" w:rsidR="00411CFA" w:rsidRDefault="00411CFA" w:rsidP="00451B7C">
      <w:r w:rsidRPr="00411CFA">
        <w:rPr>
          <w:b/>
        </w:rPr>
        <w:t>DALBAR</w:t>
      </w:r>
      <w:r>
        <w:t>.  DALBAR is a private company that does research on investor returns.  It puts out an annual survey in a book titles “Quantitative Analysis of Investor Behavior.”  It discusses how average equity fund investors have done versus benchmarks over the past 20 years in the equity, fixed income, and balanced categories.</w:t>
      </w:r>
    </w:p>
    <w:p w14:paraId="5C905F3C" w14:textId="77777777" w:rsidR="00411CFA" w:rsidRDefault="00411CFA" w:rsidP="00451B7C">
      <w:pPr>
        <w:rPr>
          <w:sz w:val="22"/>
          <w:szCs w:val="22"/>
        </w:rPr>
      </w:pPr>
    </w:p>
    <w:p w14:paraId="29A27B02" w14:textId="77777777" w:rsidR="00411CFA" w:rsidRDefault="00411CFA" w:rsidP="00451B7C">
      <w:pPr>
        <w:rPr>
          <w:sz w:val="22"/>
          <w:szCs w:val="22"/>
        </w:rPr>
      </w:pPr>
      <w:r w:rsidRPr="00411CFA">
        <w:rPr>
          <w:b/>
          <w:sz w:val="22"/>
          <w:szCs w:val="22"/>
        </w:rPr>
        <w:t>Day trading</w:t>
      </w:r>
      <w:r>
        <w:rPr>
          <w:sz w:val="22"/>
          <w:szCs w:val="22"/>
        </w:rPr>
        <w:t xml:space="preserve">.  The process where someone with limited experience and minimal investment tools in the market trades on a daily basis with an expectation to outperform institutions with significant experience and </w:t>
      </w:r>
      <w:r w:rsidR="00417099">
        <w:rPr>
          <w:sz w:val="22"/>
          <w:szCs w:val="22"/>
        </w:rPr>
        <w:t xml:space="preserve">very expensive </w:t>
      </w:r>
      <w:r>
        <w:rPr>
          <w:sz w:val="22"/>
          <w:szCs w:val="22"/>
        </w:rPr>
        <w:t xml:space="preserve">tools.  It is </w:t>
      </w:r>
      <w:r w:rsidR="00417099">
        <w:rPr>
          <w:sz w:val="22"/>
          <w:szCs w:val="22"/>
        </w:rPr>
        <w:t xml:space="preserve">generally </w:t>
      </w:r>
      <w:r>
        <w:rPr>
          <w:sz w:val="22"/>
          <w:szCs w:val="22"/>
        </w:rPr>
        <w:t>not investing, rather it is speculating.</w:t>
      </w:r>
    </w:p>
    <w:p w14:paraId="5955B904" w14:textId="77777777" w:rsidR="00411CFA" w:rsidRDefault="00411CFA" w:rsidP="00451B7C"/>
    <w:p w14:paraId="48A7BE9F" w14:textId="77777777" w:rsidR="00411CFA" w:rsidRDefault="00411CFA" w:rsidP="00451B7C">
      <w:r w:rsidRPr="00411CFA">
        <w:rPr>
          <w:b/>
        </w:rPr>
        <w:t>Diversification</w:t>
      </w:r>
      <w:r>
        <w:t>.  Diversification is the process of allocating your assets so they are not concentrated in a single asset class.  It is “not putting all your eggs in one basket”.  Having a diversified portfolio in many different asset classes is your key defense against risk</w:t>
      </w:r>
    </w:p>
    <w:p w14:paraId="6648B060" w14:textId="77777777" w:rsidR="00411CFA" w:rsidRDefault="00411CFA" w:rsidP="00411CFA"/>
    <w:p w14:paraId="0DA3522E" w14:textId="77777777" w:rsidR="00411CFA" w:rsidRDefault="00411CFA" w:rsidP="00411CFA">
      <w:r w:rsidRPr="00411CFA">
        <w:rPr>
          <w:b/>
        </w:rPr>
        <w:t>Emerging Market stocks and emerging market mutual funds</w:t>
      </w:r>
      <w:r>
        <w:t>.  These are stocks or mutual funds of companies that trade in the countries not considered develop by the IMF.  These are often smaller companies in smaller markets.   International investments involve additional risks, which include differences in financial accounting standards, currency fluctuations, political instability, foreign taxes and regulations, and the potential for illiquid markets.</w:t>
      </w:r>
    </w:p>
    <w:p w14:paraId="4D94797D" w14:textId="77777777" w:rsidR="00411CFA" w:rsidRDefault="00411CFA" w:rsidP="0008225F"/>
    <w:p w14:paraId="540594E3" w14:textId="77777777" w:rsidR="00411CFA" w:rsidRDefault="00411CFA" w:rsidP="0008225F">
      <w:r w:rsidRPr="00411CFA">
        <w:rPr>
          <w:b/>
        </w:rPr>
        <w:t>Equities (or Stocks).</w:t>
      </w:r>
      <w:r>
        <w:t xml:space="preserve">  Equities are a</w:t>
      </w:r>
      <w:r w:rsidR="00674953">
        <w:t>n</w:t>
      </w:r>
      <w:r>
        <w:t xml:space="preserve"> asset class that provides growth and earns returns in excess of inflation.  Over longer periods of time, the stock market historically has been the only major asset class to consistently outpace inflation.  Equity ownership is ownership in a businesses’ </w:t>
      </w:r>
      <w:r>
        <w:lastRenderedPageBreak/>
        <w:t xml:space="preserve">earnings and assets.  </w:t>
      </w:r>
      <w:r w:rsidR="00674953">
        <w:t>Equity a</w:t>
      </w:r>
      <w:r>
        <w:t xml:space="preserve">sset classes are delineated by market capitalization (which is shares outstanding multiplied by the stock's current market price), type of company (growth versus value), and geographic area.  The benchmarks for equity asset classes can be generally defined as capitalization:  Large, mid, and small; type:  Growth, blend, and value; </w:t>
      </w:r>
      <w:r w:rsidR="00674953">
        <w:t>or</w:t>
      </w:r>
      <w:r>
        <w:t xml:space="preserve"> geographic area:  US, international, global and emerging markets.  Equities have offered the highest return of the major asset classes</w:t>
      </w:r>
      <w:r w:rsidR="00674953">
        <w:t xml:space="preserve"> historically and </w:t>
      </w:r>
      <w:r>
        <w:t>have been a good investment for long-term investing—they have consistently beat inflation over the long-term.  However, they offer less stability of principal than other asset classes, and subject to short-term price fluctuations (so very risky for short-term investments)</w:t>
      </w:r>
      <w:r w:rsidR="00674953">
        <w:t>.</w:t>
      </w:r>
    </w:p>
    <w:p w14:paraId="752DB88E" w14:textId="77777777" w:rsidR="00411CFA" w:rsidRDefault="00411CFA" w:rsidP="009E1DE5">
      <w:pPr>
        <w:widowControl w:val="0"/>
      </w:pPr>
    </w:p>
    <w:p w14:paraId="760E1598" w14:textId="77777777" w:rsidR="00411CFA" w:rsidRDefault="00411CFA" w:rsidP="009E1DE5">
      <w:pPr>
        <w:widowControl w:val="0"/>
      </w:pPr>
      <w:r w:rsidRPr="00411CFA">
        <w:rPr>
          <w:b/>
        </w:rPr>
        <w:t>Financial assets/instruments</w:t>
      </w:r>
      <w:r>
        <w:t>.  These are different types of securities that are sold in financial markets.</w:t>
      </w:r>
    </w:p>
    <w:p w14:paraId="155F6BB9" w14:textId="77777777" w:rsidR="00411CFA" w:rsidRDefault="00411CFA" w:rsidP="009E1DE5">
      <w:pPr>
        <w:widowControl w:val="0"/>
      </w:pPr>
    </w:p>
    <w:p w14:paraId="08B4434B" w14:textId="77777777" w:rsidR="00411CFA" w:rsidRDefault="00411CFA" w:rsidP="009E1DE5">
      <w:pPr>
        <w:widowControl w:val="0"/>
      </w:pPr>
      <w:r w:rsidRPr="00411CFA">
        <w:rPr>
          <w:b/>
        </w:rPr>
        <w:t>Financial markets</w:t>
      </w:r>
      <w:r>
        <w:t>.  Markets in which financial securities or assets are bought and sold.</w:t>
      </w:r>
    </w:p>
    <w:p w14:paraId="068658BC" w14:textId="77777777" w:rsidR="00411CFA" w:rsidRDefault="00411CFA" w:rsidP="003D39D0">
      <w:pPr>
        <w:widowControl w:val="0"/>
      </w:pPr>
    </w:p>
    <w:p w14:paraId="6B06D885" w14:textId="77777777" w:rsidR="00411CFA" w:rsidRDefault="00411CFA" w:rsidP="00411CFA">
      <w:r w:rsidRPr="00411CFA">
        <w:rPr>
          <w:b/>
        </w:rPr>
        <w:t>Fixed Income</w:t>
      </w:r>
      <w:r>
        <w:t xml:space="preserve">.  Fixed income is an asset </w:t>
      </w:r>
      <w:proofErr w:type="gramStart"/>
      <w:r>
        <w:t>class  that</w:t>
      </w:r>
      <w:proofErr w:type="gramEnd"/>
      <w:r>
        <w:t xml:space="preserve"> attempts to provide income and to earn returns in excess of inflation.  There are two different types of fixed income assets:  Taxable bonds.  Taxable bonds include U.S. Treasuries, corporate bonds and agency issues (bonds issued by U.S. government agencies, like Ginnie Mae).  Tax-free bonds include revenue or general obligation bonds issued by local or state governments and agencies. Such bonds are generally free from federal and state taxes.  Fixed income includes short-term bonds/bond funds, intermediate-term bonds/bond funds, and long-term bonds/junk bonds/bond funds issued by governments or corporations.  Fixed income offers greater returns than cash, but with greater risk.  It offers good diversification tool when holding a long-term stock portfolio, as bonds move differently than stocks.  However, returns have been historically lower than stocks, they are very susceptible to interest rate and other risks, and generally, fixed income assets alone are not good long-term investments because they don’t provide enough growth to beat inflation over long periods of time. </w:t>
      </w:r>
    </w:p>
    <w:p w14:paraId="00AD5750" w14:textId="77777777" w:rsidR="00411CFA" w:rsidRDefault="00411CFA" w:rsidP="003D39D0">
      <w:pPr>
        <w:widowControl w:val="0"/>
      </w:pPr>
    </w:p>
    <w:p w14:paraId="14FB483F" w14:textId="77777777" w:rsidR="00411CFA" w:rsidRDefault="00411CFA" w:rsidP="0008225F">
      <w:r w:rsidRPr="00411CFA">
        <w:rPr>
          <w:b/>
        </w:rPr>
        <w:t>Global stocks and global stock mutual funds</w:t>
      </w:r>
      <w:r>
        <w:t xml:space="preserve">.  These are stocks or mutual funds of companies that contain a mixture of U.S. and foreign or international holdings.  International investments involve additional risks, which include differences in financial accounting standards, currency fluctuations, political instability, foreign taxes and regulations, and the potential for illiquid markets. </w:t>
      </w:r>
    </w:p>
    <w:p w14:paraId="070F4480" w14:textId="77777777" w:rsidR="00411CFA" w:rsidRDefault="00411CFA" w:rsidP="0008225F"/>
    <w:p w14:paraId="6FC39689" w14:textId="77777777" w:rsidR="00411CFA" w:rsidRDefault="00411CFA" w:rsidP="0008225F">
      <w:r w:rsidRPr="00411CFA">
        <w:rPr>
          <w:b/>
        </w:rPr>
        <w:t>Growth stocks</w:t>
      </w:r>
      <w:r>
        <w:t>.  These are fast-track companies whose earnings are expected to grow very rapidly.  Frequently these are companies developing new technologies or new ways of doing things.</w:t>
      </w:r>
    </w:p>
    <w:p w14:paraId="3D72F886" w14:textId="77777777" w:rsidR="00411CFA" w:rsidRDefault="00411CFA" w:rsidP="0008225F"/>
    <w:p w14:paraId="7EB4FA60" w14:textId="77777777" w:rsidR="00411CFA" w:rsidRDefault="00411CFA" w:rsidP="0008225F">
      <w:r w:rsidRPr="00411CFA">
        <w:rPr>
          <w:b/>
        </w:rPr>
        <w:t>International stocks and international mutual funds</w:t>
      </w:r>
      <w:r>
        <w:t xml:space="preserve">.  These are stocks or mutual funds of companies based entirely outside the U.S. These can be of any size (small-cap, large-cap), any type (value, growth) and from any part of the world outside the US. International investments involve additional risks, which include differences in financial accounting standards, currency fluctuations, political instability, foreign taxes and regulations, and the potential for illiquid markets. </w:t>
      </w:r>
    </w:p>
    <w:p w14:paraId="7FF642EF" w14:textId="77777777" w:rsidR="00411CFA" w:rsidRDefault="00411CFA" w:rsidP="0008225F"/>
    <w:p w14:paraId="2572DA04" w14:textId="77777777" w:rsidR="00411CFA" w:rsidRDefault="00411CFA" w:rsidP="0008225F">
      <w:r w:rsidRPr="00411CFA">
        <w:rPr>
          <w:b/>
        </w:rPr>
        <w:lastRenderedPageBreak/>
        <w:t>Large-cap (capitalization) stocks</w:t>
      </w:r>
      <w:r>
        <w:t>.  Large caps are stocks with a market capitalization greater than roughly $10 billion in the US, and smaller capitalizations for international companies.  These are the generally the largest, most well established companies in the US, with a history of sales and earnings as well as notable market share.  These are generally mature corporations with a long track record of steady growth and dividends.</w:t>
      </w:r>
    </w:p>
    <w:p w14:paraId="4222836D" w14:textId="77777777" w:rsidR="00411CFA" w:rsidRDefault="00411CFA" w:rsidP="0008225F"/>
    <w:p w14:paraId="4118BA60" w14:textId="77777777" w:rsidR="00411CFA" w:rsidRDefault="00411CFA" w:rsidP="0008225F">
      <w:r w:rsidRPr="00411CFA">
        <w:rPr>
          <w:b/>
        </w:rPr>
        <w:t>Market capitalization</w:t>
      </w:r>
      <w:r>
        <w:t>.  It is one measure of the size of a company.  It is calculated by multiplying the market price of the stock by the number of shares (i.e. ownership pieces) outstanding.  The greater the capitalization, the larger the company.  Market capitalization is used to weight companies in various benchmarks and to determine certain classes of companies, i.e. large-cap, mid-cap, small-cap, etc.</w:t>
      </w:r>
    </w:p>
    <w:p w14:paraId="6CB2BD2E" w14:textId="77777777" w:rsidR="00411CFA" w:rsidRDefault="00411CFA" w:rsidP="0008225F"/>
    <w:p w14:paraId="2010726B" w14:textId="77777777" w:rsidR="00411CFA" w:rsidRDefault="00411CFA" w:rsidP="0008225F">
      <w:r w:rsidRPr="00411CFA">
        <w:rPr>
          <w:b/>
        </w:rPr>
        <w:t>Mid-cap or mid-capitalization stocks</w:t>
      </w:r>
      <w:r>
        <w:t xml:space="preserve">.  These are stocks with capitalization between roughly $2 billion and $10 billion.  These stocks tend to grow faster than big cap companies, and are generally less volatile than small cap companies.  Mid-caps generally perform similar to the small-cap asset class. For asset-allocation purposes, mid-caps are generally not considered a major asset class. </w:t>
      </w:r>
    </w:p>
    <w:p w14:paraId="32022B25" w14:textId="77777777" w:rsidR="00411CFA" w:rsidRPr="00411CFA" w:rsidRDefault="00411CFA" w:rsidP="00451B7C">
      <w:pPr>
        <w:rPr>
          <w:b/>
        </w:rPr>
      </w:pPr>
    </w:p>
    <w:p w14:paraId="183DEDBB" w14:textId="77777777" w:rsidR="00411CFA" w:rsidRDefault="00411CFA" w:rsidP="00451B7C">
      <w:r w:rsidRPr="00411CFA">
        <w:rPr>
          <w:b/>
        </w:rPr>
        <w:t>Risk</w:t>
      </w:r>
      <w:r>
        <w:t>.  Risk is the possibility of having a return different from what was expected, whether it is losing all your money, losing principle, or not achieving a specific rate of return.  There are many different types of risk including: inflation, business, interest rate, financial, market, political and regulatory, exchange rate, call, and liquidity risk.</w:t>
      </w:r>
    </w:p>
    <w:p w14:paraId="1AD5D6C2" w14:textId="77777777" w:rsidR="00411CFA" w:rsidRDefault="00411CFA" w:rsidP="0008225F"/>
    <w:p w14:paraId="189C9051" w14:textId="77777777" w:rsidR="00411CFA" w:rsidRDefault="00411CFA" w:rsidP="0008225F">
      <w:r w:rsidRPr="00411CFA">
        <w:rPr>
          <w:b/>
        </w:rPr>
        <w:t>Small-cap or small capitalization stocks</w:t>
      </w:r>
      <w:r>
        <w:t>.  Small-cap stocks are companies with a market capitalization less than $2 billion.  These are smaller, sometimes newer, US and global companies that are still developing and may have a smaller market share than their large-cap counterparts</w:t>
      </w:r>
      <w:r w:rsidR="00674953">
        <w:t>.</w:t>
      </w:r>
    </w:p>
    <w:p w14:paraId="495943F9" w14:textId="77777777" w:rsidR="00411CFA" w:rsidRDefault="00411CFA" w:rsidP="003D39D0"/>
    <w:p w14:paraId="00918B6A" w14:textId="77777777" w:rsidR="00411CFA" w:rsidRDefault="00411CFA" w:rsidP="003D39D0">
      <w:r w:rsidRPr="00411CFA">
        <w:rPr>
          <w:b/>
        </w:rPr>
        <w:t>Taxable bonds</w:t>
      </w:r>
      <w:r>
        <w:t xml:space="preserve">.  Taxable bonds include U.S. Treasuries, corporate bonds and agency issues (bonds issued by U.S. government agencies, like Ginnie Mae).  </w:t>
      </w:r>
    </w:p>
    <w:p w14:paraId="6A9E20D2" w14:textId="77777777" w:rsidR="00411CFA" w:rsidRDefault="00411CFA" w:rsidP="003D39D0"/>
    <w:p w14:paraId="4F5E04C9" w14:textId="77777777" w:rsidR="00411CFA" w:rsidRDefault="00411CFA" w:rsidP="003D39D0">
      <w:r w:rsidRPr="00411CFA">
        <w:rPr>
          <w:b/>
        </w:rPr>
        <w:t>Tax-free bonds</w:t>
      </w:r>
      <w:r>
        <w:t xml:space="preserve">.  Tax-free bonds include revenue or general obligation bonds issued by local or state governments and agencies. Such bonds are generally free from federal and state taxes.  </w:t>
      </w:r>
    </w:p>
    <w:p w14:paraId="64EA78EC" w14:textId="77777777" w:rsidR="00411CFA" w:rsidRDefault="00411CFA" w:rsidP="0008225F"/>
    <w:p w14:paraId="122DD0C6" w14:textId="77777777" w:rsidR="00411CFA" w:rsidRDefault="00411CFA" w:rsidP="0008225F">
      <w:r w:rsidRPr="00411CFA">
        <w:rPr>
          <w:b/>
        </w:rPr>
        <w:t>Value stocks</w:t>
      </w:r>
      <w:r>
        <w:t>.  These are inexpensive (in terms of low PE and low P/BV ratios), companies that have potential for good long-term return through both appreciation and dividends.</w:t>
      </w:r>
    </w:p>
    <w:p w14:paraId="02AF0A02" w14:textId="77777777" w:rsidR="00674953" w:rsidRDefault="00674953" w:rsidP="0008225F"/>
    <w:sectPr w:rsidR="00674953" w:rsidSect="001B0467">
      <w:headerReference w:type="default" r:id="rId7"/>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F0A1559" w14:textId="77777777" w:rsidR="006A33DA" w:rsidRDefault="006A33DA" w:rsidP="006216EC">
      <w:r>
        <w:separator/>
      </w:r>
    </w:p>
  </w:endnote>
  <w:endnote w:type="continuationSeparator" w:id="0">
    <w:p w14:paraId="37A5B74F" w14:textId="77777777" w:rsidR="006A33DA" w:rsidRDefault="006A33DA" w:rsidP="006216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82929162"/>
      <w:docPartObj>
        <w:docPartGallery w:val="Page Numbers (Bottom of Page)"/>
        <w:docPartUnique/>
      </w:docPartObj>
    </w:sdtPr>
    <w:sdtEndPr/>
    <w:sdtContent>
      <w:sdt>
        <w:sdtPr>
          <w:id w:val="1728636285"/>
          <w:docPartObj>
            <w:docPartGallery w:val="Page Numbers (Top of Page)"/>
            <w:docPartUnique/>
          </w:docPartObj>
        </w:sdtPr>
        <w:sdtEndPr/>
        <w:sdtContent>
          <w:p w14:paraId="4968C73E" w14:textId="77777777" w:rsidR="006216EC" w:rsidRDefault="006216EC">
            <w:pPr>
              <w:pStyle w:val="Footer"/>
              <w:jc w:val="center"/>
            </w:pPr>
          </w:p>
          <w:p w14:paraId="53B06B8A" w14:textId="77777777" w:rsidR="006216EC" w:rsidRDefault="006216EC" w:rsidP="006216EC">
            <w:pPr>
              <w:pStyle w:val="Footer"/>
              <w:pBdr>
                <w:top w:val="single" w:sz="4" w:space="1" w:color="auto"/>
              </w:pBdr>
              <w:jc w:val="center"/>
            </w:pPr>
            <w:r>
              <w:t xml:space="preserve">Page </w:t>
            </w:r>
            <w:r>
              <w:rPr>
                <w:b/>
                <w:bCs/>
              </w:rPr>
              <w:fldChar w:fldCharType="begin"/>
            </w:r>
            <w:r>
              <w:rPr>
                <w:b/>
                <w:bCs/>
              </w:rPr>
              <w:instrText xml:space="preserve"> PAGE </w:instrText>
            </w:r>
            <w:r>
              <w:rPr>
                <w:b/>
                <w:bCs/>
              </w:rPr>
              <w:fldChar w:fldCharType="separate"/>
            </w:r>
            <w:r w:rsidR="00417099">
              <w:rPr>
                <w:b/>
                <w:bCs/>
                <w:noProof/>
              </w:rPr>
              <w:t>3</w:t>
            </w:r>
            <w:r>
              <w:rPr>
                <w:b/>
                <w:bCs/>
              </w:rPr>
              <w:fldChar w:fldCharType="end"/>
            </w:r>
            <w:r>
              <w:t xml:space="preserve"> of </w:t>
            </w:r>
            <w:r>
              <w:rPr>
                <w:b/>
                <w:bCs/>
              </w:rPr>
              <w:fldChar w:fldCharType="begin"/>
            </w:r>
            <w:r>
              <w:rPr>
                <w:b/>
                <w:bCs/>
              </w:rPr>
              <w:instrText xml:space="preserve"> NUMPAGES  </w:instrText>
            </w:r>
            <w:r>
              <w:rPr>
                <w:b/>
                <w:bCs/>
              </w:rPr>
              <w:fldChar w:fldCharType="separate"/>
            </w:r>
            <w:r w:rsidR="00417099">
              <w:rPr>
                <w:b/>
                <w:bCs/>
                <w:noProof/>
              </w:rPr>
              <w:t>3</w:t>
            </w:r>
            <w:r>
              <w:rPr>
                <w:b/>
                <w:bCs/>
              </w:rPr>
              <w:fldChar w:fldCharType="end"/>
            </w:r>
          </w:p>
        </w:sdtContent>
      </w:sdt>
    </w:sdtContent>
  </w:sdt>
  <w:p w14:paraId="321A7B0E" w14:textId="77777777" w:rsidR="006216EC" w:rsidRDefault="006216E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EC3FC09" w14:textId="77777777" w:rsidR="006A33DA" w:rsidRDefault="006A33DA" w:rsidP="006216EC">
      <w:r>
        <w:separator/>
      </w:r>
    </w:p>
  </w:footnote>
  <w:footnote w:type="continuationSeparator" w:id="0">
    <w:p w14:paraId="4A9E058D" w14:textId="77777777" w:rsidR="006A33DA" w:rsidRDefault="006A33DA" w:rsidP="006216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EDBB677" w14:textId="77777777" w:rsidR="006216EC" w:rsidRDefault="006216EC" w:rsidP="006216EC">
    <w:pPr>
      <w:pStyle w:val="Header"/>
      <w:pBdr>
        <w:bottom w:val="single" w:sz="4" w:space="1" w:color="auto"/>
      </w:pBdr>
      <w:jc w:val="center"/>
    </w:pPr>
    <w:r>
      <w:t>Terminology</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66A12A6"/>
    <w:multiLevelType w:val="hybridMultilevel"/>
    <w:tmpl w:val="F72C1920"/>
    <w:lvl w:ilvl="0" w:tplc="A01CB986">
      <w:start w:val="1"/>
      <w:numFmt w:val="decimal"/>
      <w:lvlText w:val="%1."/>
      <w:lvlJc w:val="left"/>
      <w:pPr>
        <w:tabs>
          <w:tab w:val="num" w:pos="648"/>
        </w:tabs>
        <w:ind w:left="648" w:hanging="36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1" w15:restartNumberingAfterBreak="0">
    <w:nsid w:val="19EB0C96"/>
    <w:multiLevelType w:val="hybridMultilevel"/>
    <w:tmpl w:val="10C245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D8F29EE"/>
    <w:multiLevelType w:val="hybridMultilevel"/>
    <w:tmpl w:val="C8F6F8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F996040"/>
    <w:multiLevelType w:val="hybridMultilevel"/>
    <w:tmpl w:val="8CC02202"/>
    <w:lvl w:ilvl="0" w:tplc="1C344336">
      <w:start w:val="1"/>
      <w:numFmt w:val="bullet"/>
      <w:lvlText w:val="•"/>
      <w:lvlJc w:val="left"/>
      <w:pPr>
        <w:tabs>
          <w:tab w:val="num" w:pos="720"/>
        </w:tabs>
        <w:ind w:left="720" w:hanging="360"/>
      </w:pPr>
      <w:rPr>
        <w:rFonts w:ascii="Times New Roman" w:hAnsi="Times New Roman" w:hint="default"/>
      </w:rPr>
    </w:lvl>
    <w:lvl w:ilvl="1" w:tplc="DB7CD8BC">
      <w:start w:val="98"/>
      <w:numFmt w:val="bullet"/>
      <w:lvlText w:val="•"/>
      <w:lvlJc w:val="left"/>
      <w:pPr>
        <w:tabs>
          <w:tab w:val="num" w:pos="1440"/>
        </w:tabs>
        <w:ind w:left="1440" w:hanging="360"/>
      </w:pPr>
      <w:rPr>
        <w:rFonts w:ascii="Times New Roman" w:hAnsi="Times New Roman" w:hint="default"/>
      </w:rPr>
    </w:lvl>
    <w:lvl w:ilvl="2" w:tplc="339EBB5A">
      <w:start w:val="98"/>
      <w:numFmt w:val="bullet"/>
      <w:lvlText w:val="•"/>
      <w:lvlJc w:val="left"/>
      <w:pPr>
        <w:tabs>
          <w:tab w:val="num" w:pos="2160"/>
        </w:tabs>
        <w:ind w:left="2160" w:hanging="360"/>
      </w:pPr>
      <w:rPr>
        <w:rFonts w:ascii="Times New Roman" w:hAnsi="Times New Roman" w:hint="default"/>
      </w:rPr>
    </w:lvl>
    <w:lvl w:ilvl="3" w:tplc="FC26C0FC" w:tentative="1">
      <w:start w:val="1"/>
      <w:numFmt w:val="bullet"/>
      <w:lvlText w:val="•"/>
      <w:lvlJc w:val="left"/>
      <w:pPr>
        <w:tabs>
          <w:tab w:val="num" w:pos="2880"/>
        </w:tabs>
        <w:ind w:left="2880" w:hanging="360"/>
      </w:pPr>
      <w:rPr>
        <w:rFonts w:ascii="Times New Roman" w:hAnsi="Times New Roman" w:hint="default"/>
      </w:rPr>
    </w:lvl>
    <w:lvl w:ilvl="4" w:tplc="0F6CFFC0" w:tentative="1">
      <w:start w:val="1"/>
      <w:numFmt w:val="bullet"/>
      <w:lvlText w:val="•"/>
      <w:lvlJc w:val="left"/>
      <w:pPr>
        <w:tabs>
          <w:tab w:val="num" w:pos="3600"/>
        </w:tabs>
        <w:ind w:left="3600" w:hanging="360"/>
      </w:pPr>
      <w:rPr>
        <w:rFonts w:ascii="Times New Roman" w:hAnsi="Times New Roman" w:hint="default"/>
      </w:rPr>
    </w:lvl>
    <w:lvl w:ilvl="5" w:tplc="ED5EF144" w:tentative="1">
      <w:start w:val="1"/>
      <w:numFmt w:val="bullet"/>
      <w:lvlText w:val="•"/>
      <w:lvlJc w:val="left"/>
      <w:pPr>
        <w:tabs>
          <w:tab w:val="num" w:pos="4320"/>
        </w:tabs>
        <w:ind w:left="4320" w:hanging="360"/>
      </w:pPr>
      <w:rPr>
        <w:rFonts w:ascii="Times New Roman" w:hAnsi="Times New Roman" w:hint="default"/>
      </w:rPr>
    </w:lvl>
    <w:lvl w:ilvl="6" w:tplc="3D7C3A8A" w:tentative="1">
      <w:start w:val="1"/>
      <w:numFmt w:val="bullet"/>
      <w:lvlText w:val="•"/>
      <w:lvlJc w:val="left"/>
      <w:pPr>
        <w:tabs>
          <w:tab w:val="num" w:pos="5040"/>
        </w:tabs>
        <w:ind w:left="5040" w:hanging="360"/>
      </w:pPr>
      <w:rPr>
        <w:rFonts w:ascii="Times New Roman" w:hAnsi="Times New Roman" w:hint="default"/>
      </w:rPr>
    </w:lvl>
    <w:lvl w:ilvl="7" w:tplc="3CA4E716" w:tentative="1">
      <w:start w:val="1"/>
      <w:numFmt w:val="bullet"/>
      <w:lvlText w:val="•"/>
      <w:lvlJc w:val="left"/>
      <w:pPr>
        <w:tabs>
          <w:tab w:val="num" w:pos="5760"/>
        </w:tabs>
        <w:ind w:left="5760" w:hanging="360"/>
      </w:pPr>
      <w:rPr>
        <w:rFonts w:ascii="Times New Roman" w:hAnsi="Times New Roman" w:hint="default"/>
      </w:rPr>
    </w:lvl>
    <w:lvl w:ilvl="8" w:tplc="B8CAA32C"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32C1506D"/>
    <w:multiLevelType w:val="hybridMultilevel"/>
    <w:tmpl w:val="24368C54"/>
    <w:lvl w:ilvl="0" w:tplc="A4D28BD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3BAB591B"/>
    <w:multiLevelType w:val="hybridMultilevel"/>
    <w:tmpl w:val="6A6ABD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4224860"/>
    <w:multiLevelType w:val="hybridMultilevel"/>
    <w:tmpl w:val="83224026"/>
    <w:lvl w:ilvl="0" w:tplc="1AD26E8C">
      <w:start w:val="3"/>
      <w:numFmt w:val="decimal"/>
      <w:lvlText w:val="%1."/>
      <w:lvlJc w:val="left"/>
      <w:pPr>
        <w:tabs>
          <w:tab w:val="num" w:pos="678"/>
        </w:tabs>
        <w:ind w:left="678" w:hanging="39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7" w15:restartNumberingAfterBreak="0">
    <w:nsid w:val="70BE7CEA"/>
    <w:multiLevelType w:val="hybridMultilevel"/>
    <w:tmpl w:val="D2CECD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711A4C9D"/>
    <w:multiLevelType w:val="hybridMultilevel"/>
    <w:tmpl w:val="C630A7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0"/>
  </w:num>
  <w:num w:numId="3">
    <w:abstractNumId w:val="4"/>
  </w:num>
  <w:num w:numId="4">
    <w:abstractNumId w:val="2"/>
  </w:num>
  <w:num w:numId="5">
    <w:abstractNumId w:val="1"/>
  </w:num>
  <w:num w:numId="6">
    <w:abstractNumId w:val="5"/>
  </w:num>
  <w:num w:numId="7">
    <w:abstractNumId w:val="8"/>
  </w:num>
  <w:num w:numId="8">
    <w:abstractNumId w:val="7"/>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embedSystemFont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7D2A"/>
    <w:rsid w:val="000003D7"/>
    <w:rsid w:val="00030BE4"/>
    <w:rsid w:val="00036125"/>
    <w:rsid w:val="000375F5"/>
    <w:rsid w:val="00043B39"/>
    <w:rsid w:val="00045187"/>
    <w:rsid w:val="00053F05"/>
    <w:rsid w:val="0005656A"/>
    <w:rsid w:val="000679D6"/>
    <w:rsid w:val="0008225F"/>
    <w:rsid w:val="00093C2E"/>
    <w:rsid w:val="000941E9"/>
    <w:rsid w:val="0009799A"/>
    <w:rsid w:val="000B146B"/>
    <w:rsid w:val="000C0190"/>
    <w:rsid w:val="000D2CBA"/>
    <w:rsid w:val="000E7F0A"/>
    <w:rsid w:val="00102B39"/>
    <w:rsid w:val="001177B9"/>
    <w:rsid w:val="001655EB"/>
    <w:rsid w:val="00171A95"/>
    <w:rsid w:val="00174D4E"/>
    <w:rsid w:val="00186BC2"/>
    <w:rsid w:val="001A57D9"/>
    <w:rsid w:val="001B0467"/>
    <w:rsid w:val="001D2A3C"/>
    <w:rsid w:val="001F1250"/>
    <w:rsid w:val="001F73AE"/>
    <w:rsid w:val="00206FE2"/>
    <w:rsid w:val="00213F34"/>
    <w:rsid w:val="00224D8D"/>
    <w:rsid w:val="00226894"/>
    <w:rsid w:val="002271AA"/>
    <w:rsid w:val="0023266B"/>
    <w:rsid w:val="002351D0"/>
    <w:rsid w:val="00236BE8"/>
    <w:rsid w:val="00237E34"/>
    <w:rsid w:val="0024362B"/>
    <w:rsid w:val="00245901"/>
    <w:rsid w:val="0028068C"/>
    <w:rsid w:val="002B476F"/>
    <w:rsid w:val="002C3C1E"/>
    <w:rsid w:val="002F413E"/>
    <w:rsid w:val="003075B1"/>
    <w:rsid w:val="00307CC8"/>
    <w:rsid w:val="0031528A"/>
    <w:rsid w:val="00333898"/>
    <w:rsid w:val="0034056E"/>
    <w:rsid w:val="00340BD0"/>
    <w:rsid w:val="00386D80"/>
    <w:rsid w:val="003A5300"/>
    <w:rsid w:val="003B1D81"/>
    <w:rsid w:val="003D36DB"/>
    <w:rsid w:val="003D39D0"/>
    <w:rsid w:val="00410CB3"/>
    <w:rsid w:val="00411CFA"/>
    <w:rsid w:val="004168D7"/>
    <w:rsid w:val="00417099"/>
    <w:rsid w:val="004234BF"/>
    <w:rsid w:val="004424C5"/>
    <w:rsid w:val="00451B7C"/>
    <w:rsid w:val="00456F7D"/>
    <w:rsid w:val="00457B8E"/>
    <w:rsid w:val="00457D2A"/>
    <w:rsid w:val="00460765"/>
    <w:rsid w:val="0046220E"/>
    <w:rsid w:val="00485733"/>
    <w:rsid w:val="00494B43"/>
    <w:rsid w:val="00496D68"/>
    <w:rsid w:val="004B343D"/>
    <w:rsid w:val="004B73CE"/>
    <w:rsid w:val="004C135C"/>
    <w:rsid w:val="00555E3E"/>
    <w:rsid w:val="00560C61"/>
    <w:rsid w:val="00591E77"/>
    <w:rsid w:val="00593901"/>
    <w:rsid w:val="00594803"/>
    <w:rsid w:val="00597A8B"/>
    <w:rsid w:val="005C7805"/>
    <w:rsid w:val="00600EE2"/>
    <w:rsid w:val="00612EF2"/>
    <w:rsid w:val="006216EC"/>
    <w:rsid w:val="00627B80"/>
    <w:rsid w:val="006344BC"/>
    <w:rsid w:val="006424C6"/>
    <w:rsid w:val="00642A95"/>
    <w:rsid w:val="00650B19"/>
    <w:rsid w:val="006717F0"/>
    <w:rsid w:val="00674953"/>
    <w:rsid w:val="006A33DA"/>
    <w:rsid w:val="006A3CD0"/>
    <w:rsid w:val="006B0205"/>
    <w:rsid w:val="006B3E34"/>
    <w:rsid w:val="006C511F"/>
    <w:rsid w:val="006D763F"/>
    <w:rsid w:val="00721DCE"/>
    <w:rsid w:val="007267FD"/>
    <w:rsid w:val="007315E9"/>
    <w:rsid w:val="00750131"/>
    <w:rsid w:val="007525AA"/>
    <w:rsid w:val="007574DD"/>
    <w:rsid w:val="0077593B"/>
    <w:rsid w:val="00777421"/>
    <w:rsid w:val="00787FB2"/>
    <w:rsid w:val="007C3348"/>
    <w:rsid w:val="007D1AAC"/>
    <w:rsid w:val="007F5417"/>
    <w:rsid w:val="008020FA"/>
    <w:rsid w:val="008026E9"/>
    <w:rsid w:val="00814914"/>
    <w:rsid w:val="0082244B"/>
    <w:rsid w:val="00824F0D"/>
    <w:rsid w:val="00857E6C"/>
    <w:rsid w:val="0086553A"/>
    <w:rsid w:val="00865681"/>
    <w:rsid w:val="008735A4"/>
    <w:rsid w:val="00891509"/>
    <w:rsid w:val="008915C8"/>
    <w:rsid w:val="00897D44"/>
    <w:rsid w:val="008A0ADC"/>
    <w:rsid w:val="008A3BE7"/>
    <w:rsid w:val="008A5C0E"/>
    <w:rsid w:val="008A6883"/>
    <w:rsid w:val="008B5D15"/>
    <w:rsid w:val="008C6E98"/>
    <w:rsid w:val="008D4E1C"/>
    <w:rsid w:val="008E044B"/>
    <w:rsid w:val="008F3536"/>
    <w:rsid w:val="008F3FBA"/>
    <w:rsid w:val="009118FA"/>
    <w:rsid w:val="00962DB9"/>
    <w:rsid w:val="009639CF"/>
    <w:rsid w:val="00964928"/>
    <w:rsid w:val="009944C3"/>
    <w:rsid w:val="009B2679"/>
    <w:rsid w:val="009C2924"/>
    <w:rsid w:val="009D2331"/>
    <w:rsid w:val="009D2880"/>
    <w:rsid w:val="009D5BF1"/>
    <w:rsid w:val="009E1DE5"/>
    <w:rsid w:val="00A019DF"/>
    <w:rsid w:val="00A161CB"/>
    <w:rsid w:val="00A247BB"/>
    <w:rsid w:val="00A254D9"/>
    <w:rsid w:val="00A33E56"/>
    <w:rsid w:val="00A52A6D"/>
    <w:rsid w:val="00A653F5"/>
    <w:rsid w:val="00A679DC"/>
    <w:rsid w:val="00A81B00"/>
    <w:rsid w:val="00A87C74"/>
    <w:rsid w:val="00AA1DCC"/>
    <w:rsid w:val="00AD6E85"/>
    <w:rsid w:val="00AF10D3"/>
    <w:rsid w:val="00B15ADB"/>
    <w:rsid w:val="00B600F3"/>
    <w:rsid w:val="00B71116"/>
    <w:rsid w:val="00B81046"/>
    <w:rsid w:val="00B936CC"/>
    <w:rsid w:val="00BA3F8A"/>
    <w:rsid w:val="00BA746C"/>
    <w:rsid w:val="00BB609E"/>
    <w:rsid w:val="00BD225E"/>
    <w:rsid w:val="00BD66DA"/>
    <w:rsid w:val="00BE1D89"/>
    <w:rsid w:val="00C049D4"/>
    <w:rsid w:val="00C405F2"/>
    <w:rsid w:val="00C708D5"/>
    <w:rsid w:val="00C76F2B"/>
    <w:rsid w:val="00C80219"/>
    <w:rsid w:val="00C82ECC"/>
    <w:rsid w:val="00C8377E"/>
    <w:rsid w:val="00C902D4"/>
    <w:rsid w:val="00C91FAD"/>
    <w:rsid w:val="00CA5499"/>
    <w:rsid w:val="00CB0A6D"/>
    <w:rsid w:val="00CD45C1"/>
    <w:rsid w:val="00CE04FC"/>
    <w:rsid w:val="00D01C7A"/>
    <w:rsid w:val="00D32E76"/>
    <w:rsid w:val="00D34041"/>
    <w:rsid w:val="00D34B1D"/>
    <w:rsid w:val="00D472C5"/>
    <w:rsid w:val="00D91CDC"/>
    <w:rsid w:val="00DB56F1"/>
    <w:rsid w:val="00DC1FFB"/>
    <w:rsid w:val="00DE101E"/>
    <w:rsid w:val="00DF1D38"/>
    <w:rsid w:val="00DF3545"/>
    <w:rsid w:val="00DF434F"/>
    <w:rsid w:val="00E14953"/>
    <w:rsid w:val="00E312CB"/>
    <w:rsid w:val="00E31343"/>
    <w:rsid w:val="00E6247B"/>
    <w:rsid w:val="00E7074B"/>
    <w:rsid w:val="00E74778"/>
    <w:rsid w:val="00E76C5A"/>
    <w:rsid w:val="00EC1792"/>
    <w:rsid w:val="00EE16F8"/>
    <w:rsid w:val="00EE191F"/>
    <w:rsid w:val="00EF4620"/>
    <w:rsid w:val="00EF5AA6"/>
    <w:rsid w:val="00F0332B"/>
    <w:rsid w:val="00F1132B"/>
    <w:rsid w:val="00F30420"/>
    <w:rsid w:val="00F53813"/>
    <w:rsid w:val="00F602D1"/>
    <w:rsid w:val="00F91EBB"/>
    <w:rsid w:val="00FB0CEF"/>
    <w:rsid w:val="00FC2553"/>
    <w:rsid w:val="00FD4140"/>
    <w:rsid w:val="00FE3ECA"/>
    <w:rsid w:val="00FF630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B5205E0"/>
  <w15:docId w15:val="{F9837580-6B31-4F11-9F94-59A15CC631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Subtle 1" w:semiHidden="1" w:unhideWhenUsed="1"/>
    <w:lsdException w:name="Table Subtle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sdException w:name="Smart Link Error" w:semiHidden="1" w:uiPriority="99" w:unhideWhenUsed="1"/>
  </w:latentStyles>
  <w:style w:type="paragraph" w:default="1" w:styleId="Normal">
    <w:name w:val="Normal"/>
    <w:qFormat/>
    <w:rPr>
      <w:sz w:val="24"/>
      <w:szCs w:val="24"/>
    </w:rPr>
  </w:style>
  <w:style w:type="paragraph" w:styleId="Heading1">
    <w:name w:val="heading 1"/>
    <w:basedOn w:val="Normal"/>
    <w:next w:val="Normal"/>
    <w:qFormat/>
    <w:pPr>
      <w:keepNext/>
      <w:spacing w:before="120"/>
      <w:outlineLvl w:val="0"/>
    </w:pPr>
    <w:rPr>
      <w:rFonts w:cs="Arial"/>
      <w:b/>
      <w:bCs/>
      <w:kern w:val="32"/>
      <w:sz w:val="28"/>
      <w:szCs w:val="32"/>
    </w:rPr>
  </w:style>
  <w:style w:type="paragraph" w:styleId="Heading2">
    <w:name w:val="heading 2"/>
    <w:basedOn w:val="Normal"/>
    <w:next w:val="Normal"/>
    <w:qFormat/>
    <w:pPr>
      <w:keepNext/>
      <w:ind w:left="288"/>
      <w:outlineLvl w:val="1"/>
    </w:pPr>
    <w:rPr>
      <w:rFonts w:cs="Arial"/>
      <w:b/>
      <w:bCs/>
      <w:i/>
      <w:iCs/>
      <w:szCs w:val="28"/>
    </w:rPr>
  </w:style>
  <w:style w:type="paragraph" w:styleId="Heading3">
    <w:name w:val="heading 3"/>
    <w:basedOn w:val="Normal"/>
    <w:next w:val="Normal"/>
    <w:qFormat/>
    <w:pPr>
      <w:keepNext/>
      <w:ind w:left="576" w:right="288"/>
      <w:outlineLvl w:val="2"/>
    </w:pPr>
    <w:rPr>
      <w:rFonts w:cs="Arial"/>
      <w:b/>
      <w:bCs/>
      <w:szCs w:val="26"/>
    </w:rPr>
  </w:style>
  <w:style w:type="paragraph" w:styleId="Heading4">
    <w:name w:val="heading 4"/>
    <w:basedOn w:val="Normal"/>
    <w:next w:val="Normal"/>
    <w:autoRedefine/>
    <w:qFormat/>
    <w:rsid w:val="00555E3E"/>
    <w:pPr>
      <w:widowControl w:val="0"/>
      <w:ind w:left="576" w:right="576" w:firstLine="144"/>
      <w:outlineLvl w:val="3"/>
    </w:pPr>
    <w:rPr>
      <w:bCs/>
      <w:szCs w:val="28"/>
    </w:rPr>
  </w:style>
  <w:style w:type="paragraph" w:styleId="Heading5">
    <w:name w:val="heading 5"/>
    <w:basedOn w:val="Normal"/>
    <w:next w:val="Normal"/>
    <w:qFormat/>
    <w:pPr>
      <w:keepNext/>
      <w:jc w:val="center"/>
      <w:outlineLvl w:val="4"/>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ate">
    <w:name w:val="Date"/>
    <w:basedOn w:val="Normal"/>
    <w:next w:val="Normal"/>
    <w:rsid w:val="0082244B"/>
  </w:style>
  <w:style w:type="paragraph" w:styleId="BalloonText">
    <w:name w:val="Balloon Text"/>
    <w:basedOn w:val="Normal"/>
    <w:semiHidden/>
    <w:rsid w:val="00045187"/>
    <w:rPr>
      <w:rFonts w:ascii="Tahoma" w:hAnsi="Tahoma" w:cs="Tahoma"/>
      <w:sz w:val="16"/>
      <w:szCs w:val="16"/>
    </w:rPr>
  </w:style>
  <w:style w:type="character" w:styleId="Hyperlink">
    <w:name w:val="Hyperlink"/>
    <w:rsid w:val="00DF1D38"/>
    <w:rPr>
      <w:color w:val="0000FF"/>
      <w:u w:val="single"/>
    </w:rPr>
  </w:style>
  <w:style w:type="character" w:styleId="FollowedHyperlink">
    <w:name w:val="FollowedHyperlink"/>
    <w:rsid w:val="00DF1D38"/>
    <w:rPr>
      <w:color w:val="800080"/>
      <w:u w:val="single"/>
    </w:rPr>
  </w:style>
  <w:style w:type="paragraph" w:styleId="ListParagraph">
    <w:name w:val="List Paragraph"/>
    <w:basedOn w:val="Normal"/>
    <w:uiPriority w:val="34"/>
    <w:qFormat/>
    <w:rsid w:val="00030BE4"/>
    <w:pPr>
      <w:ind w:left="720"/>
      <w:contextualSpacing/>
    </w:pPr>
  </w:style>
  <w:style w:type="paragraph" w:styleId="Header">
    <w:name w:val="header"/>
    <w:basedOn w:val="Normal"/>
    <w:link w:val="HeaderChar"/>
    <w:rsid w:val="006216EC"/>
    <w:pPr>
      <w:tabs>
        <w:tab w:val="center" w:pos="4680"/>
        <w:tab w:val="right" w:pos="9360"/>
      </w:tabs>
    </w:pPr>
  </w:style>
  <w:style w:type="character" w:customStyle="1" w:styleId="HeaderChar">
    <w:name w:val="Header Char"/>
    <w:basedOn w:val="DefaultParagraphFont"/>
    <w:link w:val="Header"/>
    <w:rsid w:val="006216EC"/>
    <w:rPr>
      <w:sz w:val="24"/>
      <w:szCs w:val="24"/>
    </w:rPr>
  </w:style>
  <w:style w:type="paragraph" w:styleId="Footer">
    <w:name w:val="footer"/>
    <w:basedOn w:val="Normal"/>
    <w:link w:val="FooterChar"/>
    <w:uiPriority w:val="99"/>
    <w:rsid w:val="006216EC"/>
    <w:pPr>
      <w:tabs>
        <w:tab w:val="center" w:pos="4680"/>
        <w:tab w:val="right" w:pos="9360"/>
      </w:tabs>
    </w:pPr>
  </w:style>
  <w:style w:type="character" w:customStyle="1" w:styleId="FooterChar">
    <w:name w:val="Footer Char"/>
    <w:basedOn w:val="DefaultParagraphFont"/>
    <w:link w:val="Footer"/>
    <w:uiPriority w:val="99"/>
    <w:rsid w:val="006216EC"/>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327022">
      <w:bodyDiv w:val="1"/>
      <w:marLeft w:val="0"/>
      <w:marRight w:val="0"/>
      <w:marTop w:val="0"/>
      <w:marBottom w:val="0"/>
      <w:divBdr>
        <w:top w:val="none" w:sz="0" w:space="0" w:color="auto"/>
        <w:left w:val="none" w:sz="0" w:space="0" w:color="auto"/>
        <w:bottom w:val="none" w:sz="0" w:space="0" w:color="auto"/>
        <w:right w:val="none" w:sz="0" w:space="0" w:color="auto"/>
      </w:divBdr>
    </w:div>
    <w:div w:id="55321005">
      <w:bodyDiv w:val="1"/>
      <w:marLeft w:val="0"/>
      <w:marRight w:val="0"/>
      <w:marTop w:val="0"/>
      <w:marBottom w:val="0"/>
      <w:divBdr>
        <w:top w:val="none" w:sz="0" w:space="0" w:color="auto"/>
        <w:left w:val="none" w:sz="0" w:space="0" w:color="auto"/>
        <w:bottom w:val="none" w:sz="0" w:space="0" w:color="auto"/>
        <w:right w:val="none" w:sz="0" w:space="0" w:color="auto"/>
      </w:divBdr>
    </w:div>
    <w:div w:id="76440132">
      <w:bodyDiv w:val="1"/>
      <w:marLeft w:val="0"/>
      <w:marRight w:val="0"/>
      <w:marTop w:val="0"/>
      <w:marBottom w:val="0"/>
      <w:divBdr>
        <w:top w:val="none" w:sz="0" w:space="0" w:color="auto"/>
        <w:left w:val="none" w:sz="0" w:space="0" w:color="auto"/>
        <w:bottom w:val="none" w:sz="0" w:space="0" w:color="auto"/>
        <w:right w:val="none" w:sz="0" w:space="0" w:color="auto"/>
      </w:divBdr>
    </w:div>
    <w:div w:id="149517543">
      <w:bodyDiv w:val="1"/>
      <w:marLeft w:val="0"/>
      <w:marRight w:val="0"/>
      <w:marTop w:val="0"/>
      <w:marBottom w:val="0"/>
      <w:divBdr>
        <w:top w:val="none" w:sz="0" w:space="0" w:color="auto"/>
        <w:left w:val="none" w:sz="0" w:space="0" w:color="auto"/>
        <w:bottom w:val="none" w:sz="0" w:space="0" w:color="auto"/>
        <w:right w:val="none" w:sz="0" w:space="0" w:color="auto"/>
      </w:divBdr>
    </w:div>
    <w:div w:id="170799072">
      <w:bodyDiv w:val="1"/>
      <w:marLeft w:val="0"/>
      <w:marRight w:val="0"/>
      <w:marTop w:val="0"/>
      <w:marBottom w:val="0"/>
      <w:divBdr>
        <w:top w:val="none" w:sz="0" w:space="0" w:color="auto"/>
        <w:left w:val="none" w:sz="0" w:space="0" w:color="auto"/>
        <w:bottom w:val="none" w:sz="0" w:space="0" w:color="auto"/>
        <w:right w:val="none" w:sz="0" w:space="0" w:color="auto"/>
      </w:divBdr>
    </w:div>
    <w:div w:id="209080006">
      <w:bodyDiv w:val="1"/>
      <w:marLeft w:val="0"/>
      <w:marRight w:val="0"/>
      <w:marTop w:val="0"/>
      <w:marBottom w:val="0"/>
      <w:divBdr>
        <w:top w:val="none" w:sz="0" w:space="0" w:color="auto"/>
        <w:left w:val="none" w:sz="0" w:space="0" w:color="auto"/>
        <w:bottom w:val="none" w:sz="0" w:space="0" w:color="auto"/>
        <w:right w:val="none" w:sz="0" w:space="0" w:color="auto"/>
      </w:divBdr>
    </w:div>
    <w:div w:id="246232863">
      <w:bodyDiv w:val="1"/>
      <w:marLeft w:val="0"/>
      <w:marRight w:val="0"/>
      <w:marTop w:val="0"/>
      <w:marBottom w:val="0"/>
      <w:divBdr>
        <w:top w:val="none" w:sz="0" w:space="0" w:color="auto"/>
        <w:left w:val="none" w:sz="0" w:space="0" w:color="auto"/>
        <w:bottom w:val="none" w:sz="0" w:space="0" w:color="auto"/>
        <w:right w:val="none" w:sz="0" w:space="0" w:color="auto"/>
      </w:divBdr>
    </w:div>
    <w:div w:id="303850488">
      <w:bodyDiv w:val="1"/>
      <w:marLeft w:val="0"/>
      <w:marRight w:val="0"/>
      <w:marTop w:val="0"/>
      <w:marBottom w:val="0"/>
      <w:divBdr>
        <w:top w:val="none" w:sz="0" w:space="0" w:color="auto"/>
        <w:left w:val="none" w:sz="0" w:space="0" w:color="auto"/>
        <w:bottom w:val="none" w:sz="0" w:space="0" w:color="auto"/>
        <w:right w:val="none" w:sz="0" w:space="0" w:color="auto"/>
      </w:divBdr>
    </w:div>
    <w:div w:id="305012721">
      <w:bodyDiv w:val="1"/>
      <w:marLeft w:val="0"/>
      <w:marRight w:val="0"/>
      <w:marTop w:val="0"/>
      <w:marBottom w:val="0"/>
      <w:divBdr>
        <w:top w:val="none" w:sz="0" w:space="0" w:color="auto"/>
        <w:left w:val="none" w:sz="0" w:space="0" w:color="auto"/>
        <w:bottom w:val="none" w:sz="0" w:space="0" w:color="auto"/>
        <w:right w:val="none" w:sz="0" w:space="0" w:color="auto"/>
      </w:divBdr>
    </w:div>
    <w:div w:id="305554040">
      <w:bodyDiv w:val="1"/>
      <w:marLeft w:val="0"/>
      <w:marRight w:val="0"/>
      <w:marTop w:val="0"/>
      <w:marBottom w:val="0"/>
      <w:divBdr>
        <w:top w:val="none" w:sz="0" w:space="0" w:color="auto"/>
        <w:left w:val="none" w:sz="0" w:space="0" w:color="auto"/>
        <w:bottom w:val="none" w:sz="0" w:space="0" w:color="auto"/>
        <w:right w:val="none" w:sz="0" w:space="0" w:color="auto"/>
      </w:divBdr>
    </w:div>
    <w:div w:id="306279753">
      <w:bodyDiv w:val="1"/>
      <w:marLeft w:val="0"/>
      <w:marRight w:val="0"/>
      <w:marTop w:val="0"/>
      <w:marBottom w:val="0"/>
      <w:divBdr>
        <w:top w:val="none" w:sz="0" w:space="0" w:color="auto"/>
        <w:left w:val="none" w:sz="0" w:space="0" w:color="auto"/>
        <w:bottom w:val="none" w:sz="0" w:space="0" w:color="auto"/>
        <w:right w:val="none" w:sz="0" w:space="0" w:color="auto"/>
      </w:divBdr>
    </w:div>
    <w:div w:id="329673579">
      <w:bodyDiv w:val="1"/>
      <w:marLeft w:val="0"/>
      <w:marRight w:val="0"/>
      <w:marTop w:val="0"/>
      <w:marBottom w:val="0"/>
      <w:divBdr>
        <w:top w:val="none" w:sz="0" w:space="0" w:color="auto"/>
        <w:left w:val="none" w:sz="0" w:space="0" w:color="auto"/>
        <w:bottom w:val="none" w:sz="0" w:space="0" w:color="auto"/>
        <w:right w:val="none" w:sz="0" w:space="0" w:color="auto"/>
      </w:divBdr>
    </w:div>
    <w:div w:id="393159163">
      <w:bodyDiv w:val="1"/>
      <w:marLeft w:val="0"/>
      <w:marRight w:val="0"/>
      <w:marTop w:val="0"/>
      <w:marBottom w:val="0"/>
      <w:divBdr>
        <w:top w:val="none" w:sz="0" w:space="0" w:color="auto"/>
        <w:left w:val="none" w:sz="0" w:space="0" w:color="auto"/>
        <w:bottom w:val="none" w:sz="0" w:space="0" w:color="auto"/>
        <w:right w:val="none" w:sz="0" w:space="0" w:color="auto"/>
      </w:divBdr>
    </w:div>
    <w:div w:id="418065520">
      <w:bodyDiv w:val="1"/>
      <w:marLeft w:val="0"/>
      <w:marRight w:val="0"/>
      <w:marTop w:val="0"/>
      <w:marBottom w:val="0"/>
      <w:divBdr>
        <w:top w:val="none" w:sz="0" w:space="0" w:color="auto"/>
        <w:left w:val="none" w:sz="0" w:space="0" w:color="auto"/>
        <w:bottom w:val="none" w:sz="0" w:space="0" w:color="auto"/>
        <w:right w:val="none" w:sz="0" w:space="0" w:color="auto"/>
      </w:divBdr>
    </w:div>
    <w:div w:id="460197681">
      <w:bodyDiv w:val="1"/>
      <w:marLeft w:val="0"/>
      <w:marRight w:val="0"/>
      <w:marTop w:val="0"/>
      <w:marBottom w:val="0"/>
      <w:divBdr>
        <w:top w:val="none" w:sz="0" w:space="0" w:color="auto"/>
        <w:left w:val="none" w:sz="0" w:space="0" w:color="auto"/>
        <w:bottom w:val="none" w:sz="0" w:space="0" w:color="auto"/>
        <w:right w:val="none" w:sz="0" w:space="0" w:color="auto"/>
      </w:divBdr>
      <w:divsChild>
        <w:div w:id="1421639133">
          <w:marLeft w:val="1166"/>
          <w:marRight w:val="0"/>
          <w:marTop w:val="0"/>
          <w:marBottom w:val="0"/>
          <w:divBdr>
            <w:top w:val="none" w:sz="0" w:space="0" w:color="auto"/>
            <w:left w:val="none" w:sz="0" w:space="0" w:color="auto"/>
            <w:bottom w:val="none" w:sz="0" w:space="0" w:color="auto"/>
            <w:right w:val="none" w:sz="0" w:space="0" w:color="auto"/>
          </w:divBdr>
        </w:div>
        <w:div w:id="673412077">
          <w:marLeft w:val="1800"/>
          <w:marRight w:val="0"/>
          <w:marTop w:val="0"/>
          <w:marBottom w:val="0"/>
          <w:divBdr>
            <w:top w:val="none" w:sz="0" w:space="0" w:color="auto"/>
            <w:left w:val="none" w:sz="0" w:space="0" w:color="auto"/>
            <w:bottom w:val="none" w:sz="0" w:space="0" w:color="auto"/>
            <w:right w:val="none" w:sz="0" w:space="0" w:color="auto"/>
          </w:divBdr>
        </w:div>
        <w:div w:id="1624001175">
          <w:marLeft w:val="1166"/>
          <w:marRight w:val="0"/>
          <w:marTop w:val="0"/>
          <w:marBottom w:val="0"/>
          <w:divBdr>
            <w:top w:val="none" w:sz="0" w:space="0" w:color="auto"/>
            <w:left w:val="none" w:sz="0" w:space="0" w:color="auto"/>
            <w:bottom w:val="none" w:sz="0" w:space="0" w:color="auto"/>
            <w:right w:val="none" w:sz="0" w:space="0" w:color="auto"/>
          </w:divBdr>
        </w:div>
        <w:div w:id="1742629683">
          <w:marLeft w:val="1800"/>
          <w:marRight w:val="0"/>
          <w:marTop w:val="0"/>
          <w:marBottom w:val="0"/>
          <w:divBdr>
            <w:top w:val="none" w:sz="0" w:space="0" w:color="auto"/>
            <w:left w:val="none" w:sz="0" w:space="0" w:color="auto"/>
            <w:bottom w:val="none" w:sz="0" w:space="0" w:color="auto"/>
            <w:right w:val="none" w:sz="0" w:space="0" w:color="auto"/>
          </w:divBdr>
        </w:div>
        <w:div w:id="1629584614">
          <w:marLeft w:val="1166"/>
          <w:marRight w:val="0"/>
          <w:marTop w:val="0"/>
          <w:marBottom w:val="0"/>
          <w:divBdr>
            <w:top w:val="none" w:sz="0" w:space="0" w:color="auto"/>
            <w:left w:val="none" w:sz="0" w:space="0" w:color="auto"/>
            <w:bottom w:val="none" w:sz="0" w:space="0" w:color="auto"/>
            <w:right w:val="none" w:sz="0" w:space="0" w:color="auto"/>
          </w:divBdr>
        </w:div>
        <w:div w:id="961881076">
          <w:marLeft w:val="1800"/>
          <w:marRight w:val="0"/>
          <w:marTop w:val="0"/>
          <w:marBottom w:val="0"/>
          <w:divBdr>
            <w:top w:val="none" w:sz="0" w:space="0" w:color="auto"/>
            <w:left w:val="none" w:sz="0" w:space="0" w:color="auto"/>
            <w:bottom w:val="none" w:sz="0" w:space="0" w:color="auto"/>
            <w:right w:val="none" w:sz="0" w:space="0" w:color="auto"/>
          </w:divBdr>
        </w:div>
        <w:div w:id="294682209">
          <w:marLeft w:val="1166"/>
          <w:marRight w:val="0"/>
          <w:marTop w:val="0"/>
          <w:marBottom w:val="0"/>
          <w:divBdr>
            <w:top w:val="none" w:sz="0" w:space="0" w:color="auto"/>
            <w:left w:val="none" w:sz="0" w:space="0" w:color="auto"/>
            <w:bottom w:val="none" w:sz="0" w:space="0" w:color="auto"/>
            <w:right w:val="none" w:sz="0" w:space="0" w:color="auto"/>
          </w:divBdr>
        </w:div>
        <w:div w:id="2102289337">
          <w:marLeft w:val="1800"/>
          <w:marRight w:val="0"/>
          <w:marTop w:val="0"/>
          <w:marBottom w:val="0"/>
          <w:divBdr>
            <w:top w:val="none" w:sz="0" w:space="0" w:color="auto"/>
            <w:left w:val="none" w:sz="0" w:space="0" w:color="auto"/>
            <w:bottom w:val="none" w:sz="0" w:space="0" w:color="auto"/>
            <w:right w:val="none" w:sz="0" w:space="0" w:color="auto"/>
          </w:divBdr>
        </w:div>
        <w:div w:id="475800891">
          <w:marLeft w:val="1166"/>
          <w:marRight w:val="0"/>
          <w:marTop w:val="0"/>
          <w:marBottom w:val="0"/>
          <w:divBdr>
            <w:top w:val="none" w:sz="0" w:space="0" w:color="auto"/>
            <w:left w:val="none" w:sz="0" w:space="0" w:color="auto"/>
            <w:bottom w:val="none" w:sz="0" w:space="0" w:color="auto"/>
            <w:right w:val="none" w:sz="0" w:space="0" w:color="auto"/>
          </w:divBdr>
        </w:div>
        <w:div w:id="1823810170">
          <w:marLeft w:val="1800"/>
          <w:marRight w:val="0"/>
          <w:marTop w:val="0"/>
          <w:marBottom w:val="0"/>
          <w:divBdr>
            <w:top w:val="none" w:sz="0" w:space="0" w:color="auto"/>
            <w:left w:val="none" w:sz="0" w:space="0" w:color="auto"/>
            <w:bottom w:val="none" w:sz="0" w:space="0" w:color="auto"/>
            <w:right w:val="none" w:sz="0" w:space="0" w:color="auto"/>
          </w:divBdr>
        </w:div>
        <w:div w:id="1547987196">
          <w:marLeft w:val="1166"/>
          <w:marRight w:val="0"/>
          <w:marTop w:val="0"/>
          <w:marBottom w:val="0"/>
          <w:divBdr>
            <w:top w:val="none" w:sz="0" w:space="0" w:color="auto"/>
            <w:left w:val="none" w:sz="0" w:space="0" w:color="auto"/>
            <w:bottom w:val="none" w:sz="0" w:space="0" w:color="auto"/>
            <w:right w:val="none" w:sz="0" w:space="0" w:color="auto"/>
          </w:divBdr>
        </w:div>
        <w:div w:id="616528348">
          <w:marLeft w:val="1800"/>
          <w:marRight w:val="0"/>
          <w:marTop w:val="0"/>
          <w:marBottom w:val="0"/>
          <w:divBdr>
            <w:top w:val="none" w:sz="0" w:space="0" w:color="auto"/>
            <w:left w:val="none" w:sz="0" w:space="0" w:color="auto"/>
            <w:bottom w:val="none" w:sz="0" w:space="0" w:color="auto"/>
            <w:right w:val="none" w:sz="0" w:space="0" w:color="auto"/>
          </w:divBdr>
        </w:div>
      </w:divsChild>
    </w:div>
    <w:div w:id="462890322">
      <w:bodyDiv w:val="1"/>
      <w:marLeft w:val="0"/>
      <w:marRight w:val="0"/>
      <w:marTop w:val="0"/>
      <w:marBottom w:val="0"/>
      <w:divBdr>
        <w:top w:val="none" w:sz="0" w:space="0" w:color="auto"/>
        <w:left w:val="none" w:sz="0" w:space="0" w:color="auto"/>
        <w:bottom w:val="none" w:sz="0" w:space="0" w:color="auto"/>
        <w:right w:val="none" w:sz="0" w:space="0" w:color="auto"/>
      </w:divBdr>
    </w:div>
    <w:div w:id="469714288">
      <w:bodyDiv w:val="1"/>
      <w:marLeft w:val="0"/>
      <w:marRight w:val="0"/>
      <w:marTop w:val="0"/>
      <w:marBottom w:val="0"/>
      <w:divBdr>
        <w:top w:val="none" w:sz="0" w:space="0" w:color="auto"/>
        <w:left w:val="none" w:sz="0" w:space="0" w:color="auto"/>
        <w:bottom w:val="none" w:sz="0" w:space="0" w:color="auto"/>
        <w:right w:val="none" w:sz="0" w:space="0" w:color="auto"/>
      </w:divBdr>
    </w:div>
    <w:div w:id="489831817">
      <w:bodyDiv w:val="1"/>
      <w:marLeft w:val="0"/>
      <w:marRight w:val="0"/>
      <w:marTop w:val="0"/>
      <w:marBottom w:val="0"/>
      <w:divBdr>
        <w:top w:val="none" w:sz="0" w:space="0" w:color="auto"/>
        <w:left w:val="none" w:sz="0" w:space="0" w:color="auto"/>
        <w:bottom w:val="none" w:sz="0" w:space="0" w:color="auto"/>
        <w:right w:val="none" w:sz="0" w:space="0" w:color="auto"/>
      </w:divBdr>
    </w:div>
    <w:div w:id="499345638">
      <w:bodyDiv w:val="1"/>
      <w:marLeft w:val="0"/>
      <w:marRight w:val="0"/>
      <w:marTop w:val="0"/>
      <w:marBottom w:val="0"/>
      <w:divBdr>
        <w:top w:val="none" w:sz="0" w:space="0" w:color="auto"/>
        <w:left w:val="none" w:sz="0" w:space="0" w:color="auto"/>
        <w:bottom w:val="none" w:sz="0" w:space="0" w:color="auto"/>
        <w:right w:val="none" w:sz="0" w:space="0" w:color="auto"/>
      </w:divBdr>
    </w:div>
    <w:div w:id="573246397">
      <w:bodyDiv w:val="1"/>
      <w:marLeft w:val="0"/>
      <w:marRight w:val="0"/>
      <w:marTop w:val="0"/>
      <w:marBottom w:val="0"/>
      <w:divBdr>
        <w:top w:val="none" w:sz="0" w:space="0" w:color="auto"/>
        <w:left w:val="none" w:sz="0" w:space="0" w:color="auto"/>
        <w:bottom w:val="none" w:sz="0" w:space="0" w:color="auto"/>
        <w:right w:val="none" w:sz="0" w:space="0" w:color="auto"/>
      </w:divBdr>
    </w:div>
    <w:div w:id="633368135">
      <w:bodyDiv w:val="1"/>
      <w:marLeft w:val="0"/>
      <w:marRight w:val="0"/>
      <w:marTop w:val="0"/>
      <w:marBottom w:val="0"/>
      <w:divBdr>
        <w:top w:val="none" w:sz="0" w:space="0" w:color="auto"/>
        <w:left w:val="none" w:sz="0" w:space="0" w:color="auto"/>
        <w:bottom w:val="none" w:sz="0" w:space="0" w:color="auto"/>
        <w:right w:val="none" w:sz="0" w:space="0" w:color="auto"/>
      </w:divBdr>
    </w:div>
    <w:div w:id="648478994">
      <w:bodyDiv w:val="1"/>
      <w:marLeft w:val="0"/>
      <w:marRight w:val="0"/>
      <w:marTop w:val="0"/>
      <w:marBottom w:val="0"/>
      <w:divBdr>
        <w:top w:val="none" w:sz="0" w:space="0" w:color="auto"/>
        <w:left w:val="none" w:sz="0" w:space="0" w:color="auto"/>
        <w:bottom w:val="none" w:sz="0" w:space="0" w:color="auto"/>
        <w:right w:val="none" w:sz="0" w:space="0" w:color="auto"/>
      </w:divBdr>
    </w:div>
    <w:div w:id="687870771">
      <w:bodyDiv w:val="1"/>
      <w:marLeft w:val="0"/>
      <w:marRight w:val="0"/>
      <w:marTop w:val="0"/>
      <w:marBottom w:val="0"/>
      <w:divBdr>
        <w:top w:val="none" w:sz="0" w:space="0" w:color="auto"/>
        <w:left w:val="none" w:sz="0" w:space="0" w:color="auto"/>
        <w:bottom w:val="none" w:sz="0" w:space="0" w:color="auto"/>
        <w:right w:val="none" w:sz="0" w:space="0" w:color="auto"/>
      </w:divBdr>
    </w:div>
    <w:div w:id="690450342">
      <w:bodyDiv w:val="1"/>
      <w:marLeft w:val="0"/>
      <w:marRight w:val="0"/>
      <w:marTop w:val="0"/>
      <w:marBottom w:val="0"/>
      <w:divBdr>
        <w:top w:val="none" w:sz="0" w:space="0" w:color="auto"/>
        <w:left w:val="none" w:sz="0" w:space="0" w:color="auto"/>
        <w:bottom w:val="none" w:sz="0" w:space="0" w:color="auto"/>
        <w:right w:val="none" w:sz="0" w:space="0" w:color="auto"/>
      </w:divBdr>
    </w:div>
    <w:div w:id="695083948">
      <w:bodyDiv w:val="1"/>
      <w:marLeft w:val="0"/>
      <w:marRight w:val="0"/>
      <w:marTop w:val="0"/>
      <w:marBottom w:val="0"/>
      <w:divBdr>
        <w:top w:val="none" w:sz="0" w:space="0" w:color="auto"/>
        <w:left w:val="none" w:sz="0" w:space="0" w:color="auto"/>
        <w:bottom w:val="none" w:sz="0" w:space="0" w:color="auto"/>
        <w:right w:val="none" w:sz="0" w:space="0" w:color="auto"/>
      </w:divBdr>
    </w:div>
    <w:div w:id="741761298">
      <w:bodyDiv w:val="1"/>
      <w:marLeft w:val="0"/>
      <w:marRight w:val="0"/>
      <w:marTop w:val="0"/>
      <w:marBottom w:val="0"/>
      <w:divBdr>
        <w:top w:val="none" w:sz="0" w:space="0" w:color="auto"/>
        <w:left w:val="none" w:sz="0" w:space="0" w:color="auto"/>
        <w:bottom w:val="none" w:sz="0" w:space="0" w:color="auto"/>
        <w:right w:val="none" w:sz="0" w:space="0" w:color="auto"/>
      </w:divBdr>
    </w:div>
    <w:div w:id="747390216">
      <w:bodyDiv w:val="1"/>
      <w:marLeft w:val="0"/>
      <w:marRight w:val="0"/>
      <w:marTop w:val="0"/>
      <w:marBottom w:val="0"/>
      <w:divBdr>
        <w:top w:val="none" w:sz="0" w:space="0" w:color="auto"/>
        <w:left w:val="none" w:sz="0" w:space="0" w:color="auto"/>
        <w:bottom w:val="none" w:sz="0" w:space="0" w:color="auto"/>
        <w:right w:val="none" w:sz="0" w:space="0" w:color="auto"/>
      </w:divBdr>
    </w:div>
    <w:div w:id="800850695">
      <w:bodyDiv w:val="1"/>
      <w:marLeft w:val="0"/>
      <w:marRight w:val="0"/>
      <w:marTop w:val="0"/>
      <w:marBottom w:val="0"/>
      <w:divBdr>
        <w:top w:val="none" w:sz="0" w:space="0" w:color="auto"/>
        <w:left w:val="none" w:sz="0" w:space="0" w:color="auto"/>
        <w:bottom w:val="none" w:sz="0" w:space="0" w:color="auto"/>
        <w:right w:val="none" w:sz="0" w:space="0" w:color="auto"/>
      </w:divBdr>
    </w:div>
    <w:div w:id="820000451">
      <w:bodyDiv w:val="1"/>
      <w:marLeft w:val="0"/>
      <w:marRight w:val="0"/>
      <w:marTop w:val="0"/>
      <w:marBottom w:val="0"/>
      <w:divBdr>
        <w:top w:val="none" w:sz="0" w:space="0" w:color="auto"/>
        <w:left w:val="none" w:sz="0" w:space="0" w:color="auto"/>
        <w:bottom w:val="none" w:sz="0" w:space="0" w:color="auto"/>
        <w:right w:val="none" w:sz="0" w:space="0" w:color="auto"/>
      </w:divBdr>
    </w:div>
    <w:div w:id="834757739">
      <w:bodyDiv w:val="1"/>
      <w:marLeft w:val="0"/>
      <w:marRight w:val="0"/>
      <w:marTop w:val="0"/>
      <w:marBottom w:val="0"/>
      <w:divBdr>
        <w:top w:val="none" w:sz="0" w:space="0" w:color="auto"/>
        <w:left w:val="none" w:sz="0" w:space="0" w:color="auto"/>
        <w:bottom w:val="none" w:sz="0" w:space="0" w:color="auto"/>
        <w:right w:val="none" w:sz="0" w:space="0" w:color="auto"/>
      </w:divBdr>
    </w:div>
    <w:div w:id="846752335">
      <w:bodyDiv w:val="1"/>
      <w:marLeft w:val="0"/>
      <w:marRight w:val="0"/>
      <w:marTop w:val="0"/>
      <w:marBottom w:val="0"/>
      <w:divBdr>
        <w:top w:val="none" w:sz="0" w:space="0" w:color="auto"/>
        <w:left w:val="none" w:sz="0" w:space="0" w:color="auto"/>
        <w:bottom w:val="none" w:sz="0" w:space="0" w:color="auto"/>
        <w:right w:val="none" w:sz="0" w:space="0" w:color="auto"/>
      </w:divBdr>
    </w:div>
    <w:div w:id="884146514">
      <w:bodyDiv w:val="1"/>
      <w:marLeft w:val="0"/>
      <w:marRight w:val="0"/>
      <w:marTop w:val="0"/>
      <w:marBottom w:val="0"/>
      <w:divBdr>
        <w:top w:val="none" w:sz="0" w:space="0" w:color="auto"/>
        <w:left w:val="none" w:sz="0" w:space="0" w:color="auto"/>
        <w:bottom w:val="none" w:sz="0" w:space="0" w:color="auto"/>
        <w:right w:val="none" w:sz="0" w:space="0" w:color="auto"/>
      </w:divBdr>
    </w:div>
    <w:div w:id="907613421">
      <w:bodyDiv w:val="1"/>
      <w:marLeft w:val="0"/>
      <w:marRight w:val="0"/>
      <w:marTop w:val="0"/>
      <w:marBottom w:val="0"/>
      <w:divBdr>
        <w:top w:val="none" w:sz="0" w:space="0" w:color="auto"/>
        <w:left w:val="none" w:sz="0" w:space="0" w:color="auto"/>
        <w:bottom w:val="none" w:sz="0" w:space="0" w:color="auto"/>
        <w:right w:val="none" w:sz="0" w:space="0" w:color="auto"/>
      </w:divBdr>
    </w:div>
    <w:div w:id="924846143">
      <w:bodyDiv w:val="1"/>
      <w:marLeft w:val="0"/>
      <w:marRight w:val="0"/>
      <w:marTop w:val="0"/>
      <w:marBottom w:val="0"/>
      <w:divBdr>
        <w:top w:val="none" w:sz="0" w:space="0" w:color="auto"/>
        <w:left w:val="none" w:sz="0" w:space="0" w:color="auto"/>
        <w:bottom w:val="none" w:sz="0" w:space="0" w:color="auto"/>
        <w:right w:val="none" w:sz="0" w:space="0" w:color="auto"/>
      </w:divBdr>
    </w:div>
    <w:div w:id="938828135">
      <w:bodyDiv w:val="1"/>
      <w:marLeft w:val="0"/>
      <w:marRight w:val="0"/>
      <w:marTop w:val="0"/>
      <w:marBottom w:val="0"/>
      <w:divBdr>
        <w:top w:val="none" w:sz="0" w:space="0" w:color="auto"/>
        <w:left w:val="none" w:sz="0" w:space="0" w:color="auto"/>
        <w:bottom w:val="none" w:sz="0" w:space="0" w:color="auto"/>
        <w:right w:val="none" w:sz="0" w:space="0" w:color="auto"/>
      </w:divBdr>
    </w:div>
    <w:div w:id="982587730">
      <w:bodyDiv w:val="1"/>
      <w:marLeft w:val="0"/>
      <w:marRight w:val="0"/>
      <w:marTop w:val="0"/>
      <w:marBottom w:val="0"/>
      <w:divBdr>
        <w:top w:val="none" w:sz="0" w:space="0" w:color="auto"/>
        <w:left w:val="none" w:sz="0" w:space="0" w:color="auto"/>
        <w:bottom w:val="none" w:sz="0" w:space="0" w:color="auto"/>
        <w:right w:val="none" w:sz="0" w:space="0" w:color="auto"/>
      </w:divBdr>
    </w:div>
    <w:div w:id="1015040463">
      <w:bodyDiv w:val="1"/>
      <w:marLeft w:val="0"/>
      <w:marRight w:val="0"/>
      <w:marTop w:val="0"/>
      <w:marBottom w:val="0"/>
      <w:divBdr>
        <w:top w:val="none" w:sz="0" w:space="0" w:color="auto"/>
        <w:left w:val="none" w:sz="0" w:space="0" w:color="auto"/>
        <w:bottom w:val="none" w:sz="0" w:space="0" w:color="auto"/>
        <w:right w:val="none" w:sz="0" w:space="0" w:color="auto"/>
      </w:divBdr>
    </w:div>
    <w:div w:id="1016808457">
      <w:bodyDiv w:val="1"/>
      <w:marLeft w:val="0"/>
      <w:marRight w:val="0"/>
      <w:marTop w:val="0"/>
      <w:marBottom w:val="0"/>
      <w:divBdr>
        <w:top w:val="none" w:sz="0" w:space="0" w:color="auto"/>
        <w:left w:val="none" w:sz="0" w:space="0" w:color="auto"/>
        <w:bottom w:val="none" w:sz="0" w:space="0" w:color="auto"/>
        <w:right w:val="none" w:sz="0" w:space="0" w:color="auto"/>
      </w:divBdr>
    </w:div>
    <w:div w:id="1030913690">
      <w:bodyDiv w:val="1"/>
      <w:marLeft w:val="0"/>
      <w:marRight w:val="0"/>
      <w:marTop w:val="0"/>
      <w:marBottom w:val="0"/>
      <w:divBdr>
        <w:top w:val="none" w:sz="0" w:space="0" w:color="auto"/>
        <w:left w:val="none" w:sz="0" w:space="0" w:color="auto"/>
        <w:bottom w:val="none" w:sz="0" w:space="0" w:color="auto"/>
        <w:right w:val="none" w:sz="0" w:space="0" w:color="auto"/>
      </w:divBdr>
    </w:div>
    <w:div w:id="1042706481">
      <w:bodyDiv w:val="1"/>
      <w:marLeft w:val="0"/>
      <w:marRight w:val="0"/>
      <w:marTop w:val="0"/>
      <w:marBottom w:val="0"/>
      <w:divBdr>
        <w:top w:val="none" w:sz="0" w:space="0" w:color="auto"/>
        <w:left w:val="none" w:sz="0" w:space="0" w:color="auto"/>
        <w:bottom w:val="none" w:sz="0" w:space="0" w:color="auto"/>
        <w:right w:val="none" w:sz="0" w:space="0" w:color="auto"/>
      </w:divBdr>
    </w:div>
    <w:div w:id="1073622588">
      <w:bodyDiv w:val="1"/>
      <w:marLeft w:val="0"/>
      <w:marRight w:val="0"/>
      <w:marTop w:val="0"/>
      <w:marBottom w:val="0"/>
      <w:divBdr>
        <w:top w:val="none" w:sz="0" w:space="0" w:color="auto"/>
        <w:left w:val="none" w:sz="0" w:space="0" w:color="auto"/>
        <w:bottom w:val="none" w:sz="0" w:space="0" w:color="auto"/>
        <w:right w:val="none" w:sz="0" w:space="0" w:color="auto"/>
      </w:divBdr>
    </w:div>
    <w:div w:id="1073814275">
      <w:bodyDiv w:val="1"/>
      <w:marLeft w:val="0"/>
      <w:marRight w:val="0"/>
      <w:marTop w:val="0"/>
      <w:marBottom w:val="0"/>
      <w:divBdr>
        <w:top w:val="none" w:sz="0" w:space="0" w:color="auto"/>
        <w:left w:val="none" w:sz="0" w:space="0" w:color="auto"/>
        <w:bottom w:val="none" w:sz="0" w:space="0" w:color="auto"/>
        <w:right w:val="none" w:sz="0" w:space="0" w:color="auto"/>
      </w:divBdr>
    </w:div>
    <w:div w:id="1080322913">
      <w:bodyDiv w:val="1"/>
      <w:marLeft w:val="0"/>
      <w:marRight w:val="0"/>
      <w:marTop w:val="0"/>
      <w:marBottom w:val="0"/>
      <w:divBdr>
        <w:top w:val="none" w:sz="0" w:space="0" w:color="auto"/>
        <w:left w:val="none" w:sz="0" w:space="0" w:color="auto"/>
        <w:bottom w:val="none" w:sz="0" w:space="0" w:color="auto"/>
        <w:right w:val="none" w:sz="0" w:space="0" w:color="auto"/>
      </w:divBdr>
    </w:div>
    <w:div w:id="1134446626">
      <w:bodyDiv w:val="1"/>
      <w:marLeft w:val="0"/>
      <w:marRight w:val="0"/>
      <w:marTop w:val="0"/>
      <w:marBottom w:val="0"/>
      <w:divBdr>
        <w:top w:val="none" w:sz="0" w:space="0" w:color="auto"/>
        <w:left w:val="none" w:sz="0" w:space="0" w:color="auto"/>
        <w:bottom w:val="none" w:sz="0" w:space="0" w:color="auto"/>
        <w:right w:val="none" w:sz="0" w:space="0" w:color="auto"/>
      </w:divBdr>
    </w:div>
    <w:div w:id="1203783174">
      <w:bodyDiv w:val="1"/>
      <w:marLeft w:val="0"/>
      <w:marRight w:val="0"/>
      <w:marTop w:val="0"/>
      <w:marBottom w:val="0"/>
      <w:divBdr>
        <w:top w:val="none" w:sz="0" w:space="0" w:color="auto"/>
        <w:left w:val="none" w:sz="0" w:space="0" w:color="auto"/>
        <w:bottom w:val="none" w:sz="0" w:space="0" w:color="auto"/>
        <w:right w:val="none" w:sz="0" w:space="0" w:color="auto"/>
      </w:divBdr>
    </w:div>
    <w:div w:id="1215044848">
      <w:bodyDiv w:val="1"/>
      <w:marLeft w:val="0"/>
      <w:marRight w:val="0"/>
      <w:marTop w:val="0"/>
      <w:marBottom w:val="0"/>
      <w:divBdr>
        <w:top w:val="none" w:sz="0" w:space="0" w:color="auto"/>
        <w:left w:val="none" w:sz="0" w:space="0" w:color="auto"/>
        <w:bottom w:val="none" w:sz="0" w:space="0" w:color="auto"/>
        <w:right w:val="none" w:sz="0" w:space="0" w:color="auto"/>
      </w:divBdr>
    </w:div>
    <w:div w:id="1259602246">
      <w:bodyDiv w:val="1"/>
      <w:marLeft w:val="0"/>
      <w:marRight w:val="0"/>
      <w:marTop w:val="0"/>
      <w:marBottom w:val="0"/>
      <w:divBdr>
        <w:top w:val="none" w:sz="0" w:space="0" w:color="auto"/>
        <w:left w:val="none" w:sz="0" w:space="0" w:color="auto"/>
        <w:bottom w:val="none" w:sz="0" w:space="0" w:color="auto"/>
        <w:right w:val="none" w:sz="0" w:space="0" w:color="auto"/>
      </w:divBdr>
    </w:div>
    <w:div w:id="1278369371">
      <w:bodyDiv w:val="1"/>
      <w:marLeft w:val="0"/>
      <w:marRight w:val="0"/>
      <w:marTop w:val="0"/>
      <w:marBottom w:val="0"/>
      <w:divBdr>
        <w:top w:val="none" w:sz="0" w:space="0" w:color="auto"/>
        <w:left w:val="none" w:sz="0" w:space="0" w:color="auto"/>
        <w:bottom w:val="none" w:sz="0" w:space="0" w:color="auto"/>
        <w:right w:val="none" w:sz="0" w:space="0" w:color="auto"/>
      </w:divBdr>
    </w:div>
    <w:div w:id="1295914340">
      <w:bodyDiv w:val="1"/>
      <w:marLeft w:val="0"/>
      <w:marRight w:val="0"/>
      <w:marTop w:val="0"/>
      <w:marBottom w:val="0"/>
      <w:divBdr>
        <w:top w:val="none" w:sz="0" w:space="0" w:color="auto"/>
        <w:left w:val="none" w:sz="0" w:space="0" w:color="auto"/>
        <w:bottom w:val="none" w:sz="0" w:space="0" w:color="auto"/>
        <w:right w:val="none" w:sz="0" w:space="0" w:color="auto"/>
      </w:divBdr>
    </w:div>
    <w:div w:id="1324090356">
      <w:bodyDiv w:val="1"/>
      <w:marLeft w:val="0"/>
      <w:marRight w:val="0"/>
      <w:marTop w:val="0"/>
      <w:marBottom w:val="0"/>
      <w:divBdr>
        <w:top w:val="none" w:sz="0" w:space="0" w:color="auto"/>
        <w:left w:val="none" w:sz="0" w:space="0" w:color="auto"/>
        <w:bottom w:val="none" w:sz="0" w:space="0" w:color="auto"/>
        <w:right w:val="none" w:sz="0" w:space="0" w:color="auto"/>
      </w:divBdr>
    </w:div>
    <w:div w:id="1336499263">
      <w:bodyDiv w:val="1"/>
      <w:marLeft w:val="0"/>
      <w:marRight w:val="0"/>
      <w:marTop w:val="0"/>
      <w:marBottom w:val="0"/>
      <w:divBdr>
        <w:top w:val="none" w:sz="0" w:space="0" w:color="auto"/>
        <w:left w:val="none" w:sz="0" w:space="0" w:color="auto"/>
        <w:bottom w:val="none" w:sz="0" w:space="0" w:color="auto"/>
        <w:right w:val="none" w:sz="0" w:space="0" w:color="auto"/>
      </w:divBdr>
    </w:div>
    <w:div w:id="1375275760">
      <w:bodyDiv w:val="1"/>
      <w:marLeft w:val="0"/>
      <w:marRight w:val="0"/>
      <w:marTop w:val="0"/>
      <w:marBottom w:val="0"/>
      <w:divBdr>
        <w:top w:val="none" w:sz="0" w:space="0" w:color="auto"/>
        <w:left w:val="none" w:sz="0" w:space="0" w:color="auto"/>
        <w:bottom w:val="none" w:sz="0" w:space="0" w:color="auto"/>
        <w:right w:val="none" w:sz="0" w:space="0" w:color="auto"/>
      </w:divBdr>
    </w:div>
    <w:div w:id="1406149448">
      <w:bodyDiv w:val="1"/>
      <w:marLeft w:val="0"/>
      <w:marRight w:val="0"/>
      <w:marTop w:val="0"/>
      <w:marBottom w:val="0"/>
      <w:divBdr>
        <w:top w:val="none" w:sz="0" w:space="0" w:color="auto"/>
        <w:left w:val="none" w:sz="0" w:space="0" w:color="auto"/>
        <w:bottom w:val="none" w:sz="0" w:space="0" w:color="auto"/>
        <w:right w:val="none" w:sz="0" w:space="0" w:color="auto"/>
      </w:divBdr>
    </w:div>
    <w:div w:id="1441877602">
      <w:bodyDiv w:val="1"/>
      <w:marLeft w:val="0"/>
      <w:marRight w:val="0"/>
      <w:marTop w:val="0"/>
      <w:marBottom w:val="0"/>
      <w:divBdr>
        <w:top w:val="none" w:sz="0" w:space="0" w:color="auto"/>
        <w:left w:val="none" w:sz="0" w:space="0" w:color="auto"/>
        <w:bottom w:val="none" w:sz="0" w:space="0" w:color="auto"/>
        <w:right w:val="none" w:sz="0" w:space="0" w:color="auto"/>
      </w:divBdr>
      <w:divsChild>
        <w:div w:id="1243948797">
          <w:marLeft w:val="547"/>
          <w:marRight w:val="0"/>
          <w:marTop w:val="134"/>
          <w:marBottom w:val="0"/>
          <w:divBdr>
            <w:top w:val="none" w:sz="0" w:space="0" w:color="auto"/>
            <w:left w:val="none" w:sz="0" w:space="0" w:color="auto"/>
            <w:bottom w:val="none" w:sz="0" w:space="0" w:color="auto"/>
            <w:right w:val="none" w:sz="0" w:space="0" w:color="auto"/>
          </w:divBdr>
        </w:div>
        <w:div w:id="803080112">
          <w:marLeft w:val="1166"/>
          <w:marRight w:val="0"/>
          <w:marTop w:val="115"/>
          <w:marBottom w:val="0"/>
          <w:divBdr>
            <w:top w:val="none" w:sz="0" w:space="0" w:color="auto"/>
            <w:left w:val="none" w:sz="0" w:space="0" w:color="auto"/>
            <w:bottom w:val="none" w:sz="0" w:space="0" w:color="auto"/>
            <w:right w:val="none" w:sz="0" w:space="0" w:color="auto"/>
          </w:divBdr>
        </w:div>
        <w:div w:id="720635915">
          <w:marLeft w:val="1800"/>
          <w:marRight w:val="0"/>
          <w:marTop w:val="115"/>
          <w:marBottom w:val="0"/>
          <w:divBdr>
            <w:top w:val="none" w:sz="0" w:space="0" w:color="auto"/>
            <w:left w:val="none" w:sz="0" w:space="0" w:color="auto"/>
            <w:bottom w:val="none" w:sz="0" w:space="0" w:color="auto"/>
            <w:right w:val="none" w:sz="0" w:space="0" w:color="auto"/>
          </w:divBdr>
        </w:div>
        <w:div w:id="1882210007">
          <w:marLeft w:val="1800"/>
          <w:marRight w:val="0"/>
          <w:marTop w:val="115"/>
          <w:marBottom w:val="0"/>
          <w:divBdr>
            <w:top w:val="none" w:sz="0" w:space="0" w:color="auto"/>
            <w:left w:val="none" w:sz="0" w:space="0" w:color="auto"/>
            <w:bottom w:val="none" w:sz="0" w:space="0" w:color="auto"/>
            <w:right w:val="none" w:sz="0" w:space="0" w:color="auto"/>
          </w:divBdr>
        </w:div>
      </w:divsChild>
    </w:div>
    <w:div w:id="1470056847">
      <w:bodyDiv w:val="1"/>
      <w:marLeft w:val="0"/>
      <w:marRight w:val="0"/>
      <w:marTop w:val="0"/>
      <w:marBottom w:val="0"/>
      <w:divBdr>
        <w:top w:val="none" w:sz="0" w:space="0" w:color="auto"/>
        <w:left w:val="none" w:sz="0" w:space="0" w:color="auto"/>
        <w:bottom w:val="none" w:sz="0" w:space="0" w:color="auto"/>
        <w:right w:val="none" w:sz="0" w:space="0" w:color="auto"/>
      </w:divBdr>
    </w:div>
    <w:div w:id="1500384811">
      <w:bodyDiv w:val="1"/>
      <w:marLeft w:val="0"/>
      <w:marRight w:val="0"/>
      <w:marTop w:val="0"/>
      <w:marBottom w:val="0"/>
      <w:divBdr>
        <w:top w:val="none" w:sz="0" w:space="0" w:color="auto"/>
        <w:left w:val="none" w:sz="0" w:space="0" w:color="auto"/>
        <w:bottom w:val="none" w:sz="0" w:space="0" w:color="auto"/>
        <w:right w:val="none" w:sz="0" w:space="0" w:color="auto"/>
      </w:divBdr>
    </w:div>
    <w:div w:id="1507592649">
      <w:bodyDiv w:val="1"/>
      <w:marLeft w:val="0"/>
      <w:marRight w:val="0"/>
      <w:marTop w:val="0"/>
      <w:marBottom w:val="0"/>
      <w:divBdr>
        <w:top w:val="none" w:sz="0" w:space="0" w:color="auto"/>
        <w:left w:val="none" w:sz="0" w:space="0" w:color="auto"/>
        <w:bottom w:val="none" w:sz="0" w:space="0" w:color="auto"/>
        <w:right w:val="none" w:sz="0" w:space="0" w:color="auto"/>
      </w:divBdr>
    </w:div>
    <w:div w:id="1648783116">
      <w:bodyDiv w:val="1"/>
      <w:marLeft w:val="0"/>
      <w:marRight w:val="0"/>
      <w:marTop w:val="0"/>
      <w:marBottom w:val="0"/>
      <w:divBdr>
        <w:top w:val="none" w:sz="0" w:space="0" w:color="auto"/>
        <w:left w:val="none" w:sz="0" w:space="0" w:color="auto"/>
        <w:bottom w:val="none" w:sz="0" w:space="0" w:color="auto"/>
        <w:right w:val="none" w:sz="0" w:space="0" w:color="auto"/>
      </w:divBdr>
    </w:div>
    <w:div w:id="1652179004">
      <w:bodyDiv w:val="1"/>
      <w:marLeft w:val="0"/>
      <w:marRight w:val="0"/>
      <w:marTop w:val="0"/>
      <w:marBottom w:val="0"/>
      <w:divBdr>
        <w:top w:val="none" w:sz="0" w:space="0" w:color="auto"/>
        <w:left w:val="none" w:sz="0" w:space="0" w:color="auto"/>
        <w:bottom w:val="none" w:sz="0" w:space="0" w:color="auto"/>
        <w:right w:val="none" w:sz="0" w:space="0" w:color="auto"/>
      </w:divBdr>
    </w:div>
    <w:div w:id="1653677436">
      <w:bodyDiv w:val="1"/>
      <w:marLeft w:val="0"/>
      <w:marRight w:val="0"/>
      <w:marTop w:val="0"/>
      <w:marBottom w:val="0"/>
      <w:divBdr>
        <w:top w:val="none" w:sz="0" w:space="0" w:color="auto"/>
        <w:left w:val="none" w:sz="0" w:space="0" w:color="auto"/>
        <w:bottom w:val="none" w:sz="0" w:space="0" w:color="auto"/>
        <w:right w:val="none" w:sz="0" w:space="0" w:color="auto"/>
      </w:divBdr>
    </w:div>
    <w:div w:id="1662736179">
      <w:bodyDiv w:val="1"/>
      <w:marLeft w:val="0"/>
      <w:marRight w:val="0"/>
      <w:marTop w:val="0"/>
      <w:marBottom w:val="0"/>
      <w:divBdr>
        <w:top w:val="none" w:sz="0" w:space="0" w:color="auto"/>
        <w:left w:val="none" w:sz="0" w:space="0" w:color="auto"/>
        <w:bottom w:val="none" w:sz="0" w:space="0" w:color="auto"/>
        <w:right w:val="none" w:sz="0" w:space="0" w:color="auto"/>
      </w:divBdr>
    </w:div>
    <w:div w:id="1711570860">
      <w:bodyDiv w:val="1"/>
      <w:marLeft w:val="0"/>
      <w:marRight w:val="0"/>
      <w:marTop w:val="0"/>
      <w:marBottom w:val="0"/>
      <w:divBdr>
        <w:top w:val="none" w:sz="0" w:space="0" w:color="auto"/>
        <w:left w:val="none" w:sz="0" w:space="0" w:color="auto"/>
        <w:bottom w:val="none" w:sz="0" w:space="0" w:color="auto"/>
        <w:right w:val="none" w:sz="0" w:space="0" w:color="auto"/>
      </w:divBdr>
    </w:div>
    <w:div w:id="1720931411">
      <w:bodyDiv w:val="1"/>
      <w:marLeft w:val="0"/>
      <w:marRight w:val="0"/>
      <w:marTop w:val="0"/>
      <w:marBottom w:val="0"/>
      <w:divBdr>
        <w:top w:val="none" w:sz="0" w:space="0" w:color="auto"/>
        <w:left w:val="none" w:sz="0" w:space="0" w:color="auto"/>
        <w:bottom w:val="none" w:sz="0" w:space="0" w:color="auto"/>
        <w:right w:val="none" w:sz="0" w:space="0" w:color="auto"/>
      </w:divBdr>
    </w:div>
    <w:div w:id="1735545147">
      <w:bodyDiv w:val="1"/>
      <w:marLeft w:val="0"/>
      <w:marRight w:val="0"/>
      <w:marTop w:val="0"/>
      <w:marBottom w:val="0"/>
      <w:divBdr>
        <w:top w:val="none" w:sz="0" w:space="0" w:color="auto"/>
        <w:left w:val="none" w:sz="0" w:space="0" w:color="auto"/>
        <w:bottom w:val="none" w:sz="0" w:space="0" w:color="auto"/>
        <w:right w:val="none" w:sz="0" w:space="0" w:color="auto"/>
      </w:divBdr>
    </w:div>
    <w:div w:id="1744640604">
      <w:bodyDiv w:val="1"/>
      <w:marLeft w:val="0"/>
      <w:marRight w:val="0"/>
      <w:marTop w:val="0"/>
      <w:marBottom w:val="0"/>
      <w:divBdr>
        <w:top w:val="none" w:sz="0" w:space="0" w:color="auto"/>
        <w:left w:val="none" w:sz="0" w:space="0" w:color="auto"/>
        <w:bottom w:val="none" w:sz="0" w:space="0" w:color="auto"/>
        <w:right w:val="none" w:sz="0" w:space="0" w:color="auto"/>
      </w:divBdr>
    </w:div>
    <w:div w:id="1750224976">
      <w:bodyDiv w:val="1"/>
      <w:marLeft w:val="0"/>
      <w:marRight w:val="0"/>
      <w:marTop w:val="0"/>
      <w:marBottom w:val="0"/>
      <w:divBdr>
        <w:top w:val="none" w:sz="0" w:space="0" w:color="auto"/>
        <w:left w:val="none" w:sz="0" w:space="0" w:color="auto"/>
        <w:bottom w:val="none" w:sz="0" w:space="0" w:color="auto"/>
        <w:right w:val="none" w:sz="0" w:space="0" w:color="auto"/>
      </w:divBdr>
    </w:div>
    <w:div w:id="1773740550">
      <w:bodyDiv w:val="1"/>
      <w:marLeft w:val="0"/>
      <w:marRight w:val="0"/>
      <w:marTop w:val="0"/>
      <w:marBottom w:val="0"/>
      <w:divBdr>
        <w:top w:val="none" w:sz="0" w:space="0" w:color="auto"/>
        <w:left w:val="none" w:sz="0" w:space="0" w:color="auto"/>
        <w:bottom w:val="none" w:sz="0" w:space="0" w:color="auto"/>
        <w:right w:val="none" w:sz="0" w:space="0" w:color="auto"/>
      </w:divBdr>
    </w:div>
    <w:div w:id="1818692045">
      <w:bodyDiv w:val="1"/>
      <w:marLeft w:val="0"/>
      <w:marRight w:val="0"/>
      <w:marTop w:val="0"/>
      <w:marBottom w:val="0"/>
      <w:divBdr>
        <w:top w:val="none" w:sz="0" w:space="0" w:color="auto"/>
        <w:left w:val="none" w:sz="0" w:space="0" w:color="auto"/>
        <w:bottom w:val="none" w:sz="0" w:space="0" w:color="auto"/>
        <w:right w:val="none" w:sz="0" w:space="0" w:color="auto"/>
      </w:divBdr>
    </w:div>
    <w:div w:id="1821338199">
      <w:bodyDiv w:val="1"/>
      <w:marLeft w:val="0"/>
      <w:marRight w:val="0"/>
      <w:marTop w:val="0"/>
      <w:marBottom w:val="0"/>
      <w:divBdr>
        <w:top w:val="none" w:sz="0" w:space="0" w:color="auto"/>
        <w:left w:val="none" w:sz="0" w:space="0" w:color="auto"/>
        <w:bottom w:val="none" w:sz="0" w:space="0" w:color="auto"/>
        <w:right w:val="none" w:sz="0" w:space="0" w:color="auto"/>
      </w:divBdr>
    </w:div>
    <w:div w:id="1824392333">
      <w:bodyDiv w:val="1"/>
      <w:marLeft w:val="0"/>
      <w:marRight w:val="0"/>
      <w:marTop w:val="0"/>
      <w:marBottom w:val="0"/>
      <w:divBdr>
        <w:top w:val="none" w:sz="0" w:space="0" w:color="auto"/>
        <w:left w:val="none" w:sz="0" w:space="0" w:color="auto"/>
        <w:bottom w:val="none" w:sz="0" w:space="0" w:color="auto"/>
        <w:right w:val="none" w:sz="0" w:space="0" w:color="auto"/>
      </w:divBdr>
    </w:div>
    <w:div w:id="1836264006">
      <w:bodyDiv w:val="1"/>
      <w:marLeft w:val="0"/>
      <w:marRight w:val="0"/>
      <w:marTop w:val="0"/>
      <w:marBottom w:val="0"/>
      <w:divBdr>
        <w:top w:val="none" w:sz="0" w:space="0" w:color="auto"/>
        <w:left w:val="none" w:sz="0" w:space="0" w:color="auto"/>
        <w:bottom w:val="none" w:sz="0" w:space="0" w:color="auto"/>
        <w:right w:val="none" w:sz="0" w:space="0" w:color="auto"/>
      </w:divBdr>
    </w:div>
    <w:div w:id="1857694694">
      <w:bodyDiv w:val="1"/>
      <w:marLeft w:val="0"/>
      <w:marRight w:val="0"/>
      <w:marTop w:val="0"/>
      <w:marBottom w:val="0"/>
      <w:divBdr>
        <w:top w:val="none" w:sz="0" w:space="0" w:color="auto"/>
        <w:left w:val="none" w:sz="0" w:space="0" w:color="auto"/>
        <w:bottom w:val="none" w:sz="0" w:space="0" w:color="auto"/>
        <w:right w:val="none" w:sz="0" w:space="0" w:color="auto"/>
      </w:divBdr>
    </w:div>
    <w:div w:id="1860314742">
      <w:bodyDiv w:val="1"/>
      <w:marLeft w:val="0"/>
      <w:marRight w:val="0"/>
      <w:marTop w:val="0"/>
      <w:marBottom w:val="0"/>
      <w:divBdr>
        <w:top w:val="none" w:sz="0" w:space="0" w:color="auto"/>
        <w:left w:val="none" w:sz="0" w:space="0" w:color="auto"/>
        <w:bottom w:val="none" w:sz="0" w:space="0" w:color="auto"/>
        <w:right w:val="none" w:sz="0" w:space="0" w:color="auto"/>
      </w:divBdr>
    </w:div>
    <w:div w:id="1888641755">
      <w:bodyDiv w:val="1"/>
      <w:marLeft w:val="0"/>
      <w:marRight w:val="0"/>
      <w:marTop w:val="0"/>
      <w:marBottom w:val="0"/>
      <w:divBdr>
        <w:top w:val="none" w:sz="0" w:space="0" w:color="auto"/>
        <w:left w:val="none" w:sz="0" w:space="0" w:color="auto"/>
        <w:bottom w:val="none" w:sz="0" w:space="0" w:color="auto"/>
        <w:right w:val="none" w:sz="0" w:space="0" w:color="auto"/>
      </w:divBdr>
    </w:div>
    <w:div w:id="1915511890">
      <w:bodyDiv w:val="1"/>
      <w:marLeft w:val="0"/>
      <w:marRight w:val="0"/>
      <w:marTop w:val="0"/>
      <w:marBottom w:val="0"/>
      <w:divBdr>
        <w:top w:val="none" w:sz="0" w:space="0" w:color="auto"/>
        <w:left w:val="none" w:sz="0" w:space="0" w:color="auto"/>
        <w:bottom w:val="none" w:sz="0" w:space="0" w:color="auto"/>
        <w:right w:val="none" w:sz="0" w:space="0" w:color="auto"/>
      </w:divBdr>
    </w:div>
    <w:div w:id="1921333788">
      <w:bodyDiv w:val="1"/>
      <w:marLeft w:val="0"/>
      <w:marRight w:val="0"/>
      <w:marTop w:val="0"/>
      <w:marBottom w:val="0"/>
      <w:divBdr>
        <w:top w:val="none" w:sz="0" w:space="0" w:color="auto"/>
        <w:left w:val="none" w:sz="0" w:space="0" w:color="auto"/>
        <w:bottom w:val="none" w:sz="0" w:space="0" w:color="auto"/>
        <w:right w:val="none" w:sz="0" w:space="0" w:color="auto"/>
      </w:divBdr>
    </w:div>
    <w:div w:id="1964266316">
      <w:bodyDiv w:val="1"/>
      <w:marLeft w:val="0"/>
      <w:marRight w:val="0"/>
      <w:marTop w:val="0"/>
      <w:marBottom w:val="0"/>
      <w:divBdr>
        <w:top w:val="none" w:sz="0" w:space="0" w:color="auto"/>
        <w:left w:val="none" w:sz="0" w:space="0" w:color="auto"/>
        <w:bottom w:val="none" w:sz="0" w:space="0" w:color="auto"/>
        <w:right w:val="none" w:sz="0" w:space="0" w:color="auto"/>
      </w:divBdr>
    </w:div>
    <w:div w:id="1975869864">
      <w:bodyDiv w:val="1"/>
      <w:marLeft w:val="0"/>
      <w:marRight w:val="0"/>
      <w:marTop w:val="0"/>
      <w:marBottom w:val="0"/>
      <w:divBdr>
        <w:top w:val="none" w:sz="0" w:space="0" w:color="auto"/>
        <w:left w:val="none" w:sz="0" w:space="0" w:color="auto"/>
        <w:bottom w:val="none" w:sz="0" w:space="0" w:color="auto"/>
        <w:right w:val="none" w:sz="0" w:space="0" w:color="auto"/>
      </w:divBdr>
    </w:div>
    <w:div w:id="1982925424">
      <w:bodyDiv w:val="1"/>
      <w:marLeft w:val="0"/>
      <w:marRight w:val="0"/>
      <w:marTop w:val="0"/>
      <w:marBottom w:val="0"/>
      <w:divBdr>
        <w:top w:val="none" w:sz="0" w:space="0" w:color="auto"/>
        <w:left w:val="none" w:sz="0" w:space="0" w:color="auto"/>
        <w:bottom w:val="none" w:sz="0" w:space="0" w:color="auto"/>
        <w:right w:val="none" w:sz="0" w:space="0" w:color="auto"/>
      </w:divBdr>
    </w:div>
    <w:div w:id="1984651613">
      <w:bodyDiv w:val="1"/>
      <w:marLeft w:val="0"/>
      <w:marRight w:val="0"/>
      <w:marTop w:val="0"/>
      <w:marBottom w:val="0"/>
      <w:divBdr>
        <w:top w:val="none" w:sz="0" w:space="0" w:color="auto"/>
        <w:left w:val="none" w:sz="0" w:space="0" w:color="auto"/>
        <w:bottom w:val="none" w:sz="0" w:space="0" w:color="auto"/>
        <w:right w:val="none" w:sz="0" w:space="0" w:color="auto"/>
      </w:divBdr>
    </w:div>
    <w:div w:id="1988433031">
      <w:bodyDiv w:val="1"/>
      <w:marLeft w:val="0"/>
      <w:marRight w:val="0"/>
      <w:marTop w:val="0"/>
      <w:marBottom w:val="0"/>
      <w:divBdr>
        <w:top w:val="none" w:sz="0" w:space="0" w:color="auto"/>
        <w:left w:val="none" w:sz="0" w:space="0" w:color="auto"/>
        <w:bottom w:val="none" w:sz="0" w:space="0" w:color="auto"/>
        <w:right w:val="none" w:sz="0" w:space="0" w:color="auto"/>
      </w:divBdr>
    </w:div>
    <w:div w:id="1994482159">
      <w:bodyDiv w:val="1"/>
      <w:marLeft w:val="0"/>
      <w:marRight w:val="0"/>
      <w:marTop w:val="0"/>
      <w:marBottom w:val="0"/>
      <w:divBdr>
        <w:top w:val="none" w:sz="0" w:space="0" w:color="auto"/>
        <w:left w:val="none" w:sz="0" w:space="0" w:color="auto"/>
        <w:bottom w:val="none" w:sz="0" w:space="0" w:color="auto"/>
        <w:right w:val="none" w:sz="0" w:space="0" w:color="auto"/>
      </w:divBdr>
    </w:div>
    <w:div w:id="2001496906">
      <w:bodyDiv w:val="1"/>
      <w:marLeft w:val="0"/>
      <w:marRight w:val="0"/>
      <w:marTop w:val="0"/>
      <w:marBottom w:val="0"/>
      <w:divBdr>
        <w:top w:val="none" w:sz="0" w:space="0" w:color="auto"/>
        <w:left w:val="none" w:sz="0" w:space="0" w:color="auto"/>
        <w:bottom w:val="none" w:sz="0" w:space="0" w:color="auto"/>
        <w:right w:val="none" w:sz="0" w:space="0" w:color="auto"/>
      </w:divBdr>
    </w:div>
    <w:div w:id="2007786194">
      <w:bodyDiv w:val="1"/>
      <w:marLeft w:val="0"/>
      <w:marRight w:val="0"/>
      <w:marTop w:val="0"/>
      <w:marBottom w:val="0"/>
      <w:divBdr>
        <w:top w:val="none" w:sz="0" w:space="0" w:color="auto"/>
        <w:left w:val="none" w:sz="0" w:space="0" w:color="auto"/>
        <w:bottom w:val="none" w:sz="0" w:space="0" w:color="auto"/>
        <w:right w:val="none" w:sz="0" w:space="0" w:color="auto"/>
      </w:divBdr>
    </w:div>
    <w:div w:id="2039892102">
      <w:bodyDiv w:val="1"/>
      <w:marLeft w:val="0"/>
      <w:marRight w:val="0"/>
      <w:marTop w:val="0"/>
      <w:marBottom w:val="0"/>
      <w:divBdr>
        <w:top w:val="none" w:sz="0" w:space="0" w:color="auto"/>
        <w:left w:val="none" w:sz="0" w:space="0" w:color="auto"/>
        <w:bottom w:val="none" w:sz="0" w:space="0" w:color="auto"/>
        <w:right w:val="none" w:sz="0" w:space="0" w:color="auto"/>
      </w:divBdr>
    </w:div>
    <w:div w:id="2113938509">
      <w:bodyDiv w:val="1"/>
      <w:marLeft w:val="0"/>
      <w:marRight w:val="0"/>
      <w:marTop w:val="0"/>
      <w:marBottom w:val="0"/>
      <w:divBdr>
        <w:top w:val="none" w:sz="0" w:space="0" w:color="auto"/>
        <w:left w:val="none" w:sz="0" w:space="0" w:color="auto"/>
        <w:bottom w:val="none" w:sz="0" w:space="0" w:color="auto"/>
        <w:right w:val="none" w:sz="0" w:space="0" w:color="auto"/>
      </w:divBdr>
    </w:div>
    <w:div w:id="21149353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1301</Words>
  <Characters>7420</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BM 410-1 Day One Notes and Objectives</vt:lpstr>
    </vt:vector>
  </TitlesOfParts>
  <Company>Brigham Young University</Company>
  <LinksUpToDate>false</LinksUpToDate>
  <CharactersWithSpaces>8704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BM 410-1 Day One Notes and Objectives</dc:title>
  <dc:subject/>
  <dc:creator>Bryan Sudweeks</dc:creator>
  <cp:keywords/>
  <cp:lastModifiedBy>Bryan Sudweeks</cp:lastModifiedBy>
  <cp:revision>6</cp:revision>
  <cp:lastPrinted>2015-02-17T18:12:00Z</cp:lastPrinted>
  <dcterms:created xsi:type="dcterms:W3CDTF">2015-02-19T15:24:00Z</dcterms:created>
  <dcterms:modified xsi:type="dcterms:W3CDTF">2020-02-22T19:58:00Z</dcterms:modified>
</cp:coreProperties>
</file>